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C26CD" w14:textId="77777777" w:rsidR="00485B69" w:rsidRDefault="0008353F" w:rsidP="0008353F">
      <w:pPr>
        <w:pStyle w:val="Logo"/>
      </w:pPr>
      <w:r>
        <w:drawing>
          <wp:inline distT="0" distB="0" distL="0" distR="0" wp14:anchorId="0196977B" wp14:editId="093E0315">
            <wp:extent cx="4680000" cy="1114779"/>
            <wp:effectExtent l="0" t="0" r="6350" b="9525"/>
            <wp:docPr id="3" name="Picture 3" descr="Australian Government - National Archives of Australi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 of Arms and NAA_Gov_logo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80000" cy="1114779"/>
                    </a:xfrm>
                    <a:prstGeom prst="rect">
                      <a:avLst/>
                    </a:prstGeom>
                  </pic:spPr>
                </pic:pic>
              </a:graphicData>
            </a:graphic>
          </wp:inline>
        </w:drawing>
      </w:r>
    </w:p>
    <w:p w14:paraId="37297EA9" w14:textId="5C35E5CA" w:rsidR="0008353F" w:rsidRDefault="00F51B71" w:rsidP="0008353F">
      <w:pPr>
        <w:pStyle w:val="Title"/>
      </w:pPr>
      <w:r>
        <w:t xml:space="preserve">General </w:t>
      </w:r>
      <w:r w:rsidR="0008353F">
        <w:t>Records Authority</w:t>
      </w:r>
    </w:p>
    <w:p w14:paraId="4DECDA5B" w14:textId="7470A65B" w:rsidR="0008353F" w:rsidRPr="00EF0E4E" w:rsidRDefault="00F51B71" w:rsidP="0008353F">
      <w:pPr>
        <w:pStyle w:val="Subtitle"/>
        <w:rPr>
          <w:color w:val="ED7D31" w:themeColor="accent2"/>
        </w:rPr>
      </w:pPr>
      <w:r w:rsidRPr="00F51B71">
        <w:t>2025</w:t>
      </w:r>
      <w:r w:rsidR="0008353F" w:rsidRPr="00F51B71">
        <w:t>/</w:t>
      </w:r>
      <w:proofErr w:type="spellStart"/>
      <w:r w:rsidR="00525289" w:rsidRPr="00EF0E4E">
        <w:rPr>
          <w:color w:val="ED7D31" w:themeColor="accent2"/>
        </w:rPr>
        <w:t>xxxxxxxx</w:t>
      </w:r>
      <w:proofErr w:type="spellEnd"/>
    </w:p>
    <w:p w14:paraId="1281C168" w14:textId="4556FA7C" w:rsidR="0008353F" w:rsidRPr="00F51B71" w:rsidRDefault="00F51B71" w:rsidP="006F5E83">
      <w:pPr>
        <w:pStyle w:val="YearTitle"/>
        <w:rPr>
          <w:b/>
          <w:sz w:val="52"/>
          <w:szCs w:val="52"/>
        </w:rPr>
      </w:pPr>
      <w:r w:rsidRPr="00F51B71">
        <w:rPr>
          <w:b/>
          <w:sz w:val="52"/>
          <w:szCs w:val="52"/>
        </w:rPr>
        <w:t>Grant Management</w:t>
      </w:r>
    </w:p>
    <w:p w14:paraId="2D61CCC0" w14:textId="2C4A650D" w:rsidR="00B46509" w:rsidRPr="00F51B71" w:rsidRDefault="00E75395" w:rsidP="00B46509">
      <w:pPr>
        <w:pStyle w:val="YearTitle"/>
      </w:pPr>
      <w:r w:rsidRPr="00F51B71">
        <w:br/>
      </w:r>
      <w:r w:rsidR="003B5DEF" w:rsidRPr="00F51B71">
        <w:t>20</w:t>
      </w:r>
      <w:r w:rsidR="00F51B71" w:rsidRPr="00F51B71">
        <w:t>25</w:t>
      </w:r>
    </w:p>
    <w:p w14:paraId="1BF8A87C" w14:textId="77777777" w:rsidR="00B46509" w:rsidRDefault="00B46509" w:rsidP="00986302">
      <w:pPr>
        <w:pStyle w:val="YearTitle"/>
      </w:pPr>
      <w:r>
        <w:br w:type="page"/>
      </w:r>
    </w:p>
    <w:p w14:paraId="2D646282" w14:textId="77777777" w:rsidR="00B46509" w:rsidRDefault="00B46509" w:rsidP="00B46509">
      <w:r>
        <w:rPr>
          <w:rFonts w:ascii="Helvetica" w:hAnsi="Helvetica" w:cs="Helvetica"/>
          <w:noProof/>
          <w:color w:val="000000"/>
          <w:lang w:eastAsia="en-AU"/>
        </w:rPr>
        <w:lastRenderedPageBreak/>
        <w:drawing>
          <wp:inline distT="0" distB="0" distL="0" distR="0" wp14:anchorId="2B08F55A" wp14:editId="11B94FEF">
            <wp:extent cx="838200" cy="295275"/>
            <wp:effectExtent l="0" t="0" r="0" b="9525"/>
            <wp:docPr id="2" name="Picture 1" descr="Creative Commons Attribution-Non-Commercial (CC-BY-NC) Version 4.0 International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Attribution-Non-Commercial (CC-BY-NC) Version 4.0 International Lic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7F23D74F" w14:textId="4B5D6FB1" w:rsidR="00B46509" w:rsidRDefault="00B46509" w:rsidP="00B46509">
      <w:r>
        <w:t xml:space="preserve">© Commonwealth of Australia (National Archives of Australia) </w:t>
      </w:r>
      <w:r w:rsidR="003B5DEF" w:rsidRPr="00F51B71">
        <w:rPr>
          <w:rStyle w:val="ReplacementText"/>
          <w:color w:val="auto"/>
        </w:rPr>
        <w:t>20</w:t>
      </w:r>
      <w:r w:rsidR="00F51B71" w:rsidRPr="00F51B71">
        <w:rPr>
          <w:rStyle w:val="ReplacementText"/>
          <w:color w:val="auto"/>
        </w:rPr>
        <w:t>25</w:t>
      </w:r>
    </w:p>
    <w:p w14:paraId="1D07F9D9" w14:textId="77777777" w:rsidR="00B46509" w:rsidRPr="00D77B73" w:rsidRDefault="00B46509" w:rsidP="00A37FB8">
      <w:pPr>
        <w:rPr>
          <w:rStyle w:val="Emphasis"/>
          <w:sz w:val="20"/>
          <w:szCs w:val="20"/>
        </w:rPr>
      </w:pPr>
      <w:r w:rsidRPr="00D77B73">
        <w:rPr>
          <w:rStyle w:val="Emphasis"/>
          <w:sz w:val="20"/>
          <w:szCs w:val="20"/>
        </w:rPr>
        <w:t>Copyright</w:t>
      </w:r>
    </w:p>
    <w:p w14:paraId="5608AEF5" w14:textId="77777777" w:rsidR="00B46509" w:rsidRDefault="00B46509" w:rsidP="00B46509">
      <w:r>
        <w:t xml:space="preserve">This product, excluding the National Archives of Australia logo, Commonwealth Coat of Arms or registered trademark, has been licensed under a Creative Commons Attribution-Non-Commercial (CC-BY-NC) Version 4.0 International Licence. You may share, copy, redistribute, remix, transform and build upon this work for non-commercial purposes only. However, you must attribute the National Archives of Australia as the copyright holder of the original work, include the attribution as set out below and indicate if changes were made. The full terms and conditions of this licence are available at </w:t>
      </w:r>
      <w:hyperlink r:id="rId10" w:history="1">
        <w:r w:rsidRPr="00B46509">
          <w:rPr>
            <w:rStyle w:val="Hyperlink"/>
          </w:rPr>
          <w:t>http://www.creativecommons.org</w:t>
        </w:r>
      </w:hyperlink>
      <w:r>
        <w:t>.</w:t>
      </w:r>
    </w:p>
    <w:p w14:paraId="262CBE87" w14:textId="77777777" w:rsidR="00B46509" w:rsidRPr="00D77B73" w:rsidRDefault="00B46509" w:rsidP="00B46509">
      <w:pPr>
        <w:rPr>
          <w:rStyle w:val="Emphasis"/>
          <w:sz w:val="20"/>
          <w:szCs w:val="20"/>
        </w:rPr>
      </w:pPr>
      <w:r w:rsidRPr="00D77B73">
        <w:rPr>
          <w:rStyle w:val="Emphasis"/>
          <w:sz w:val="20"/>
          <w:szCs w:val="20"/>
        </w:rPr>
        <w:t xml:space="preserve">Attribution </w:t>
      </w:r>
    </w:p>
    <w:p w14:paraId="1D960C80" w14:textId="77777777" w:rsidR="00B46509" w:rsidRDefault="00B46509" w:rsidP="00B46509">
      <w:r>
        <w:t xml:space="preserve">This records authority is licenced by the Commonwealth of Australia (National Archives of Australia) under a Creative Commons Attribution-Non-Commercial (CC-BY-NC) Version 4.0 International Licence. The original version can be found </w:t>
      </w:r>
      <w:hyperlink r:id="rId11" w:history="1">
        <w:r w:rsidRPr="00B46509">
          <w:rPr>
            <w:rStyle w:val="Hyperlink"/>
          </w:rPr>
          <w:t>on our website</w:t>
        </w:r>
      </w:hyperlink>
      <w:r>
        <w:t>.</w:t>
      </w:r>
    </w:p>
    <w:p w14:paraId="206A3A9B" w14:textId="77777777" w:rsidR="00B46509" w:rsidRPr="00D77B73" w:rsidRDefault="00B46509" w:rsidP="00B46509">
      <w:pPr>
        <w:rPr>
          <w:rStyle w:val="Emphasis"/>
          <w:sz w:val="20"/>
          <w:szCs w:val="20"/>
        </w:rPr>
      </w:pPr>
      <w:r w:rsidRPr="00D77B73">
        <w:rPr>
          <w:rStyle w:val="Emphasis"/>
          <w:sz w:val="20"/>
          <w:szCs w:val="20"/>
        </w:rPr>
        <w:t>Accessibility</w:t>
      </w:r>
    </w:p>
    <w:p w14:paraId="26571750" w14:textId="77777777" w:rsidR="00B46509" w:rsidRDefault="00B46509" w:rsidP="00B46509">
      <w:r>
        <w:t>This is an accurate reproduction of the authorised records authority content, created for accessibility purposes.</w:t>
      </w:r>
    </w:p>
    <w:p w14:paraId="76262B14" w14:textId="77777777" w:rsidR="00B46509" w:rsidRPr="00D77B73" w:rsidRDefault="00B46509" w:rsidP="00B46509">
      <w:pPr>
        <w:rPr>
          <w:rStyle w:val="Emphasis"/>
          <w:sz w:val="20"/>
          <w:szCs w:val="20"/>
        </w:rPr>
      </w:pPr>
      <w:r w:rsidRPr="00D77B73">
        <w:rPr>
          <w:rStyle w:val="Emphasis"/>
          <w:sz w:val="20"/>
          <w:szCs w:val="20"/>
        </w:rPr>
        <w:t xml:space="preserve">Contact Us </w:t>
      </w:r>
    </w:p>
    <w:p w14:paraId="314FA85C" w14:textId="38C8F333" w:rsidR="00B46509" w:rsidRDefault="00B46509" w:rsidP="00B46509">
      <w:r>
        <w:t xml:space="preserve">Enquiries relating to copyright or accessibility should be made through the </w:t>
      </w:r>
      <w:hyperlink r:id="rId12" w:history="1">
        <w:r w:rsidRPr="00B46509">
          <w:rPr>
            <w:rStyle w:val="Hyperlink"/>
          </w:rPr>
          <w:t>Agency Service Centre</w:t>
        </w:r>
      </w:hyperlink>
      <w:r>
        <w:t>.</w:t>
      </w:r>
    </w:p>
    <w:p w14:paraId="5C7F0334" w14:textId="77777777" w:rsidR="00825B32" w:rsidRDefault="00825B32" w:rsidP="00B46509">
      <w:pPr>
        <w:sectPr w:rsidR="00825B3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634CE357" w14:textId="2A563A09" w:rsidR="0008353F" w:rsidRPr="00825B32" w:rsidRDefault="004B3985" w:rsidP="00825B32">
      <w:pPr>
        <w:spacing w:before="300" w:after="300"/>
        <w:rPr>
          <w:b/>
          <w:sz w:val="32"/>
          <w:szCs w:val="32"/>
        </w:rPr>
      </w:pPr>
      <w:bookmarkStart w:id="0" w:name="_Toc68863752"/>
      <w:r w:rsidRPr="00091FE0">
        <w:rPr>
          <w:b/>
          <w:sz w:val="32"/>
          <w:szCs w:val="32"/>
        </w:rPr>
        <w:t>C</w:t>
      </w:r>
      <w:bookmarkEnd w:id="0"/>
      <w:r w:rsidR="00B52BF3" w:rsidRPr="00091FE0">
        <w:rPr>
          <w:b/>
          <w:sz w:val="32"/>
          <w:szCs w:val="32"/>
        </w:rPr>
        <w:t>ONTENTS</w:t>
      </w:r>
    </w:p>
    <w:p w14:paraId="7FFD18AC" w14:textId="5298291C" w:rsidR="0062659F" w:rsidRDefault="004B3985" w:rsidP="00F51B71">
      <w:pPr>
        <w:pStyle w:val="TOC1"/>
        <w:rPr>
          <w:rFonts w:asciiTheme="minorHAnsi" w:eastAsiaTheme="minorEastAsia" w:hAnsiTheme="minorHAnsi"/>
          <w:sz w:val="22"/>
          <w:szCs w:val="22"/>
          <w:lang w:eastAsia="en-AU"/>
        </w:rPr>
      </w:pPr>
      <w:r w:rsidRPr="00AA0B9A">
        <w:rPr>
          <w:sz w:val="28"/>
          <w:szCs w:val="28"/>
        </w:rPr>
        <w:fldChar w:fldCharType="begin"/>
      </w:r>
      <w:r w:rsidRPr="00AA0B9A">
        <w:rPr>
          <w:sz w:val="28"/>
          <w:szCs w:val="28"/>
        </w:rPr>
        <w:instrText xml:space="preserve"> TOC \o "1-1" \h \z \u </w:instrText>
      </w:r>
      <w:r w:rsidRPr="00AA0B9A">
        <w:rPr>
          <w:sz w:val="28"/>
          <w:szCs w:val="28"/>
        </w:rPr>
        <w:fldChar w:fldCharType="separate"/>
      </w:r>
      <w:hyperlink w:anchor="_Toc69743664" w:history="1">
        <w:r w:rsidR="0062659F" w:rsidRPr="00D6438F">
          <w:rPr>
            <w:rStyle w:val="Hyperlink"/>
          </w:rPr>
          <w:t>INTRODUCTION</w:t>
        </w:r>
        <w:r w:rsidR="0062659F">
          <w:rPr>
            <w:webHidden/>
          </w:rPr>
          <w:tab/>
        </w:r>
        <w:r w:rsidR="0062659F">
          <w:rPr>
            <w:webHidden/>
          </w:rPr>
          <w:fldChar w:fldCharType="begin"/>
        </w:r>
        <w:r w:rsidR="0062659F">
          <w:rPr>
            <w:webHidden/>
          </w:rPr>
          <w:instrText xml:space="preserve"> PAGEREF _Toc69743664 \h </w:instrText>
        </w:r>
        <w:r w:rsidR="0062659F">
          <w:rPr>
            <w:webHidden/>
          </w:rPr>
        </w:r>
        <w:r w:rsidR="0062659F">
          <w:rPr>
            <w:webHidden/>
          </w:rPr>
          <w:fldChar w:fldCharType="separate"/>
        </w:r>
        <w:r w:rsidR="005A0060">
          <w:rPr>
            <w:webHidden/>
          </w:rPr>
          <w:t>4</w:t>
        </w:r>
        <w:r w:rsidR="0062659F">
          <w:rPr>
            <w:webHidden/>
          </w:rPr>
          <w:fldChar w:fldCharType="end"/>
        </w:r>
      </w:hyperlink>
    </w:p>
    <w:p w14:paraId="2BA87AB8" w14:textId="0AD78E93" w:rsidR="0062659F" w:rsidRDefault="0062659F" w:rsidP="00F51B71">
      <w:pPr>
        <w:pStyle w:val="TOC1"/>
        <w:rPr>
          <w:rFonts w:asciiTheme="minorHAnsi" w:eastAsiaTheme="minorEastAsia" w:hAnsiTheme="minorHAnsi"/>
          <w:sz w:val="22"/>
          <w:szCs w:val="22"/>
          <w:lang w:eastAsia="en-AU"/>
        </w:rPr>
      </w:pPr>
      <w:hyperlink w:anchor="_Toc69743665" w:history="1">
        <w:r w:rsidRPr="00D6438F">
          <w:rPr>
            <w:rStyle w:val="Hyperlink"/>
          </w:rPr>
          <w:t>APPLICATION OF THIS AUTHORITY</w:t>
        </w:r>
        <w:r>
          <w:rPr>
            <w:webHidden/>
          </w:rPr>
          <w:tab/>
        </w:r>
        <w:r>
          <w:rPr>
            <w:webHidden/>
          </w:rPr>
          <w:fldChar w:fldCharType="begin"/>
        </w:r>
        <w:r>
          <w:rPr>
            <w:webHidden/>
          </w:rPr>
          <w:instrText xml:space="preserve"> PAGEREF _Toc69743665 \h </w:instrText>
        </w:r>
        <w:r>
          <w:rPr>
            <w:webHidden/>
          </w:rPr>
        </w:r>
        <w:r>
          <w:rPr>
            <w:webHidden/>
          </w:rPr>
          <w:fldChar w:fldCharType="separate"/>
        </w:r>
        <w:r w:rsidR="005A0060">
          <w:rPr>
            <w:webHidden/>
          </w:rPr>
          <w:t>4</w:t>
        </w:r>
        <w:r>
          <w:rPr>
            <w:webHidden/>
          </w:rPr>
          <w:fldChar w:fldCharType="end"/>
        </w:r>
      </w:hyperlink>
    </w:p>
    <w:p w14:paraId="79789E9C" w14:textId="362968AC" w:rsidR="0062659F" w:rsidRDefault="0062659F" w:rsidP="00F51B71">
      <w:pPr>
        <w:pStyle w:val="TOC1"/>
        <w:rPr>
          <w:rFonts w:asciiTheme="minorHAnsi" w:eastAsiaTheme="minorEastAsia" w:hAnsiTheme="minorHAnsi"/>
          <w:sz w:val="22"/>
          <w:szCs w:val="22"/>
          <w:lang w:eastAsia="en-AU"/>
        </w:rPr>
      </w:pPr>
      <w:hyperlink w:anchor="_Toc69743666" w:history="1">
        <w:r w:rsidRPr="00D6438F">
          <w:rPr>
            <w:rStyle w:val="Hyperlink"/>
          </w:rPr>
          <w:t>CONTACT INFORMATION</w:t>
        </w:r>
        <w:r>
          <w:rPr>
            <w:webHidden/>
          </w:rPr>
          <w:tab/>
        </w:r>
        <w:r>
          <w:rPr>
            <w:webHidden/>
          </w:rPr>
          <w:fldChar w:fldCharType="begin"/>
        </w:r>
        <w:r>
          <w:rPr>
            <w:webHidden/>
          </w:rPr>
          <w:instrText xml:space="preserve"> PAGEREF _Toc69743666 \h </w:instrText>
        </w:r>
        <w:r>
          <w:rPr>
            <w:webHidden/>
          </w:rPr>
        </w:r>
        <w:r>
          <w:rPr>
            <w:webHidden/>
          </w:rPr>
          <w:fldChar w:fldCharType="separate"/>
        </w:r>
        <w:r w:rsidR="005A0060">
          <w:rPr>
            <w:webHidden/>
          </w:rPr>
          <w:t>5</w:t>
        </w:r>
        <w:r>
          <w:rPr>
            <w:webHidden/>
          </w:rPr>
          <w:fldChar w:fldCharType="end"/>
        </w:r>
      </w:hyperlink>
    </w:p>
    <w:p w14:paraId="2369C89A" w14:textId="623DA011" w:rsidR="0062659F" w:rsidRDefault="0062659F" w:rsidP="00F51B71">
      <w:pPr>
        <w:pStyle w:val="TOC1"/>
        <w:rPr>
          <w:rFonts w:asciiTheme="minorHAnsi" w:eastAsiaTheme="minorEastAsia" w:hAnsiTheme="minorHAnsi"/>
          <w:sz w:val="22"/>
          <w:szCs w:val="22"/>
          <w:lang w:eastAsia="en-AU"/>
        </w:rPr>
      </w:pPr>
      <w:hyperlink w:anchor="_Toc69743667" w:history="1">
        <w:r w:rsidRPr="00D6438F">
          <w:rPr>
            <w:rStyle w:val="Hyperlink"/>
          </w:rPr>
          <w:t>AUTHORISATION</w:t>
        </w:r>
        <w:r>
          <w:rPr>
            <w:webHidden/>
          </w:rPr>
          <w:tab/>
        </w:r>
        <w:r>
          <w:rPr>
            <w:webHidden/>
          </w:rPr>
          <w:fldChar w:fldCharType="begin"/>
        </w:r>
        <w:r>
          <w:rPr>
            <w:webHidden/>
          </w:rPr>
          <w:instrText xml:space="preserve"> PAGEREF _Toc69743667 \h </w:instrText>
        </w:r>
        <w:r>
          <w:rPr>
            <w:webHidden/>
          </w:rPr>
        </w:r>
        <w:r>
          <w:rPr>
            <w:webHidden/>
          </w:rPr>
          <w:fldChar w:fldCharType="separate"/>
        </w:r>
        <w:r w:rsidR="005A0060">
          <w:rPr>
            <w:webHidden/>
          </w:rPr>
          <w:t>6</w:t>
        </w:r>
        <w:r>
          <w:rPr>
            <w:webHidden/>
          </w:rPr>
          <w:fldChar w:fldCharType="end"/>
        </w:r>
      </w:hyperlink>
    </w:p>
    <w:p w14:paraId="2C416E39" w14:textId="16CAD6BE" w:rsidR="0062659F" w:rsidRPr="00F51B71" w:rsidRDefault="00F51B71" w:rsidP="00F51B71">
      <w:pPr>
        <w:pStyle w:val="TOC1"/>
        <w:rPr>
          <w:rFonts w:asciiTheme="minorHAnsi" w:eastAsiaTheme="minorEastAsia" w:hAnsiTheme="minorHAnsi"/>
          <w:sz w:val="22"/>
          <w:szCs w:val="22"/>
          <w:lang w:eastAsia="en-AU"/>
        </w:rPr>
      </w:pPr>
      <w:hyperlink w:anchor="_Toc69743668" w:history="1">
        <w:r w:rsidRPr="00F51B71">
          <w:rPr>
            <w:rStyle w:val="Hyperlink"/>
            <w:color w:val="auto"/>
          </w:rPr>
          <w:t>GRANT MANAGEMENT</w:t>
        </w:r>
        <w:r w:rsidR="0062659F" w:rsidRPr="00F51B71">
          <w:rPr>
            <w:webHidden/>
          </w:rPr>
          <w:tab/>
        </w:r>
        <w:r w:rsidR="0062659F" w:rsidRPr="00F51B71">
          <w:rPr>
            <w:webHidden/>
          </w:rPr>
          <w:fldChar w:fldCharType="begin"/>
        </w:r>
        <w:r w:rsidR="0062659F" w:rsidRPr="00F51B71">
          <w:rPr>
            <w:webHidden/>
          </w:rPr>
          <w:instrText xml:space="preserve"> PAGEREF _Toc69743668 \h </w:instrText>
        </w:r>
        <w:r w:rsidR="0062659F" w:rsidRPr="00F51B71">
          <w:rPr>
            <w:webHidden/>
          </w:rPr>
        </w:r>
        <w:r w:rsidR="0062659F" w:rsidRPr="00F51B71">
          <w:rPr>
            <w:webHidden/>
          </w:rPr>
          <w:fldChar w:fldCharType="separate"/>
        </w:r>
        <w:r w:rsidR="005A0060" w:rsidRPr="00F51B71">
          <w:rPr>
            <w:webHidden/>
          </w:rPr>
          <w:t>7</w:t>
        </w:r>
        <w:r w:rsidR="0062659F" w:rsidRPr="00F51B71">
          <w:rPr>
            <w:webHidden/>
          </w:rPr>
          <w:fldChar w:fldCharType="end"/>
        </w:r>
      </w:hyperlink>
    </w:p>
    <w:p w14:paraId="64490C00" w14:textId="395DB76E" w:rsidR="005567B0" w:rsidRDefault="004B3985" w:rsidP="00EC686F">
      <w:r w:rsidRPr="00AA0B9A">
        <w:rPr>
          <w:sz w:val="28"/>
          <w:szCs w:val="28"/>
        </w:rPr>
        <w:fldChar w:fldCharType="end"/>
      </w:r>
    </w:p>
    <w:p w14:paraId="3F76C0CE" w14:textId="77777777" w:rsidR="005567B0" w:rsidRPr="005567B0" w:rsidRDefault="005567B0" w:rsidP="005567B0"/>
    <w:p w14:paraId="345E78AA" w14:textId="77777777" w:rsidR="005567B0" w:rsidRPr="005567B0" w:rsidRDefault="005567B0" w:rsidP="005567B0"/>
    <w:p w14:paraId="5B52B826" w14:textId="139D385E" w:rsidR="005567B0" w:rsidRDefault="005567B0" w:rsidP="005567B0"/>
    <w:p w14:paraId="118822E7" w14:textId="77777777" w:rsidR="009216FC" w:rsidRPr="005567B0" w:rsidRDefault="009216FC" w:rsidP="005567B0">
      <w:pPr>
        <w:jc w:val="center"/>
      </w:pPr>
    </w:p>
    <w:p w14:paraId="19A652D1" w14:textId="4E65E678" w:rsidR="004B3985" w:rsidRPr="00EC686F" w:rsidRDefault="004B3985" w:rsidP="007775A8">
      <w:pPr>
        <w:pStyle w:val="Heading1WithPageBreak"/>
        <w:spacing w:before="300" w:after="300" w:line="240" w:lineRule="auto"/>
      </w:pPr>
      <w:bookmarkStart w:id="1" w:name="_Toc69743664"/>
      <w:r w:rsidRPr="00E500E1">
        <w:t>I</w:t>
      </w:r>
      <w:r w:rsidR="0077673D">
        <w:t>NTRODUCTION</w:t>
      </w:r>
      <w:bookmarkEnd w:id="1"/>
    </w:p>
    <w:p w14:paraId="1CC3C8A9" w14:textId="1608E4F4" w:rsidR="004B3985" w:rsidRPr="00740692" w:rsidRDefault="004B3985" w:rsidP="00740692">
      <w:pPr>
        <w:rPr>
          <w:szCs w:val="20"/>
        </w:rPr>
      </w:pPr>
      <w:r w:rsidRPr="00740692">
        <w:rPr>
          <w:szCs w:val="20"/>
        </w:rPr>
        <w:t>The National Archives of Australia have developed this records authority to set out the requirements for keeping or destroying rec</w:t>
      </w:r>
      <w:r w:rsidR="006448CE" w:rsidRPr="00740692">
        <w:rPr>
          <w:szCs w:val="20"/>
        </w:rPr>
        <w:t>ords for the core business</w:t>
      </w:r>
      <w:r w:rsidR="00324F76">
        <w:rPr>
          <w:szCs w:val="20"/>
        </w:rPr>
        <w:t xml:space="preserve"> </w:t>
      </w:r>
      <w:r w:rsidRPr="00740692">
        <w:rPr>
          <w:szCs w:val="20"/>
        </w:rPr>
        <w:t xml:space="preserve">of </w:t>
      </w:r>
      <w:r w:rsidR="00F51B71" w:rsidRPr="00F51B71">
        <w:rPr>
          <w:rStyle w:val="ReplacementText"/>
          <w:rFonts w:cs="Arial"/>
          <w:color w:val="auto"/>
          <w:szCs w:val="20"/>
        </w:rPr>
        <w:t>Grant Management</w:t>
      </w:r>
      <w:r w:rsidR="00F51B71">
        <w:rPr>
          <w:rStyle w:val="ReplacementText"/>
          <w:rFonts w:cs="Arial"/>
          <w:color w:val="auto"/>
          <w:szCs w:val="20"/>
        </w:rPr>
        <w:t>.</w:t>
      </w:r>
    </w:p>
    <w:p w14:paraId="1DF5BFBB" w14:textId="574A3556" w:rsidR="004B3985" w:rsidRPr="00740692" w:rsidRDefault="004B3985" w:rsidP="00740692">
      <w:pPr>
        <w:rPr>
          <w:szCs w:val="20"/>
        </w:rPr>
      </w:pPr>
      <w:r w:rsidRPr="00740692">
        <w:rPr>
          <w:szCs w:val="20"/>
        </w:rPr>
        <w:t xml:space="preserve">This authority is based on the identification and analysis of the business of </w:t>
      </w:r>
      <w:r w:rsidR="00F51B71">
        <w:rPr>
          <w:szCs w:val="20"/>
        </w:rPr>
        <w:t xml:space="preserve">Grant Management. </w:t>
      </w:r>
      <w:r w:rsidRPr="00740692">
        <w:rPr>
          <w:szCs w:val="20"/>
        </w:rPr>
        <w:t xml:space="preserve">It </w:t>
      </w:r>
      <w:proofErr w:type="gramStart"/>
      <w:r w:rsidRPr="00740692">
        <w:rPr>
          <w:szCs w:val="20"/>
        </w:rPr>
        <w:t>takes into account</w:t>
      </w:r>
      <w:proofErr w:type="gramEnd"/>
      <w:r w:rsidRPr="00740692">
        <w:rPr>
          <w:szCs w:val="20"/>
        </w:rPr>
        <w:t xml:space="preserve"> the agency's legal and organisational information management requirements, and the interests of stakeholders, the agency and the National Archives.</w:t>
      </w:r>
    </w:p>
    <w:p w14:paraId="77C93595" w14:textId="76869D3B" w:rsidR="004B3985" w:rsidRPr="00EC686F" w:rsidRDefault="004B3985" w:rsidP="00EC686F">
      <w:r w:rsidRPr="00EC686F">
        <w:t xml:space="preserve">The authority sets out those records that need to be retained as national archives and specifies the minimum length of time that temporary records need to be kept. This authority </w:t>
      </w:r>
      <w:r w:rsidRPr="00740692">
        <w:rPr>
          <w:szCs w:val="20"/>
        </w:rPr>
        <w:t xml:space="preserve">gives </w:t>
      </w:r>
      <w:r w:rsidR="00DA584B" w:rsidRPr="00052535">
        <w:rPr>
          <w:rStyle w:val="ReplacementText"/>
          <w:rFonts w:cs="Arial"/>
          <w:color w:val="auto"/>
          <w:szCs w:val="20"/>
        </w:rPr>
        <w:t>agencies</w:t>
      </w:r>
      <w:r w:rsidRPr="00052535">
        <w:t xml:space="preserve"> </w:t>
      </w:r>
      <w:r w:rsidRPr="00EC686F">
        <w:t xml:space="preserve">permission under the </w:t>
      </w:r>
      <w:r w:rsidRPr="00EC686F">
        <w:rPr>
          <w:i/>
        </w:rPr>
        <w:t>Archives Act 1983</w:t>
      </w:r>
      <w:r w:rsidRPr="00EC686F">
        <w:t>, for the destruction of the temporary records described after the minimum retention period has expired. Retention periods for these temporary records are based on: an assessment of business needs; broader organisational accountability requirements; and community expectations</w:t>
      </w:r>
      <w:r w:rsidR="00052535">
        <w:t>.</w:t>
      </w:r>
      <w:r w:rsidR="00F51B71">
        <w:t xml:space="preserve"> </w:t>
      </w:r>
    </w:p>
    <w:p w14:paraId="7D198E5C" w14:textId="77777777" w:rsidR="004B3985" w:rsidRPr="00740692" w:rsidRDefault="004B3985" w:rsidP="0039451C">
      <w:pPr>
        <w:spacing w:before="89" w:after="0" w:line="240" w:lineRule="auto"/>
        <w:rPr>
          <w:rFonts w:cs="Arial"/>
          <w:szCs w:val="20"/>
        </w:rPr>
      </w:pPr>
      <w:r w:rsidRPr="00740692">
        <w:rPr>
          <w:rFonts w:cs="Arial"/>
          <w:szCs w:val="20"/>
        </w:rPr>
        <w:t>As changes in circumstances may affect future information management requirements, the periodic review of this authority is recommended. All amendments must be approved by the National Archives.</w:t>
      </w:r>
    </w:p>
    <w:p w14:paraId="58775BBA" w14:textId="466E3AFB" w:rsidR="004B3985" w:rsidRDefault="004B3985" w:rsidP="0039451C">
      <w:pPr>
        <w:pStyle w:val="Heading1"/>
        <w:spacing w:before="300" w:after="300" w:line="240" w:lineRule="auto"/>
      </w:pPr>
      <w:bookmarkStart w:id="2" w:name="_Toc69743665"/>
      <w:r>
        <w:t>A</w:t>
      </w:r>
      <w:r w:rsidR="0077673D">
        <w:t>PPLICATION OF THIS AUTHORITY</w:t>
      </w:r>
      <w:bookmarkEnd w:id="2"/>
    </w:p>
    <w:p w14:paraId="3916D32B" w14:textId="69219BE6" w:rsidR="00386FAD" w:rsidRDefault="005408DB" w:rsidP="00A32990">
      <w:pPr>
        <w:pStyle w:val="ListParagraph"/>
        <w:numPr>
          <w:ilvl w:val="0"/>
          <w:numId w:val="4"/>
        </w:numPr>
        <w:spacing w:before="89" w:after="120" w:line="240" w:lineRule="auto"/>
        <w:rPr>
          <w:rStyle w:val="ReplacementText"/>
          <w:color w:val="auto"/>
          <w:szCs w:val="20"/>
        </w:rPr>
      </w:pPr>
      <w:r w:rsidRPr="005408DB">
        <w:rPr>
          <w:rStyle w:val="ReplacementText"/>
          <w:color w:val="auto"/>
          <w:szCs w:val="20"/>
        </w:rPr>
        <w:t>T</w:t>
      </w:r>
      <w:r w:rsidR="004B3985" w:rsidRPr="005408DB">
        <w:rPr>
          <w:rStyle w:val="ReplacementText"/>
          <w:color w:val="auto"/>
          <w:szCs w:val="20"/>
        </w:rPr>
        <w:t xml:space="preserve">his authority supersedes </w:t>
      </w:r>
      <w:r w:rsidR="00F51B71" w:rsidRPr="005408DB">
        <w:rPr>
          <w:rStyle w:val="ReplacementText"/>
          <w:color w:val="auto"/>
          <w:szCs w:val="20"/>
        </w:rPr>
        <w:t>General R</w:t>
      </w:r>
      <w:r w:rsidR="004B3985" w:rsidRPr="005408DB">
        <w:rPr>
          <w:rStyle w:val="ReplacementText"/>
          <w:color w:val="auto"/>
          <w:szCs w:val="20"/>
        </w:rPr>
        <w:t xml:space="preserve">ecords </w:t>
      </w:r>
      <w:r w:rsidR="00F51B71" w:rsidRPr="005408DB">
        <w:rPr>
          <w:rStyle w:val="ReplacementText"/>
          <w:color w:val="auto"/>
          <w:szCs w:val="20"/>
        </w:rPr>
        <w:t>A</w:t>
      </w:r>
      <w:r w:rsidR="004B3985" w:rsidRPr="005408DB">
        <w:rPr>
          <w:rStyle w:val="ReplacementText"/>
          <w:color w:val="auto"/>
          <w:szCs w:val="20"/>
        </w:rPr>
        <w:t>uthority (</w:t>
      </w:r>
      <w:r w:rsidR="00F51B71" w:rsidRPr="005408DB">
        <w:rPr>
          <w:rStyle w:val="ReplacementText"/>
          <w:color w:val="auto"/>
          <w:szCs w:val="20"/>
        </w:rPr>
        <w:t>G</w:t>
      </w:r>
      <w:r w:rsidR="004B3985" w:rsidRPr="005408DB">
        <w:rPr>
          <w:rStyle w:val="ReplacementText"/>
          <w:color w:val="auto"/>
          <w:szCs w:val="20"/>
        </w:rPr>
        <w:t xml:space="preserve">RA) </w:t>
      </w:r>
      <w:r w:rsidR="00F51B71" w:rsidRPr="005408DB">
        <w:rPr>
          <w:rStyle w:val="ReplacementText"/>
          <w:color w:val="auto"/>
          <w:szCs w:val="20"/>
        </w:rPr>
        <w:t>28 (2010)</w:t>
      </w:r>
      <w:r w:rsidR="00B116D8">
        <w:rPr>
          <w:rStyle w:val="ReplacementText"/>
          <w:color w:val="auto"/>
          <w:szCs w:val="20"/>
        </w:rPr>
        <w:t xml:space="preserve"> Grant Management</w:t>
      </w:r>
      <w:r w:rsidR="0037789A">
        <w:rPr>
          <w:rStyle w:val="ReplacementText"/>
          <w:color w:val="auto"/>
          <w:szCs w:val="20"/>
        </w:rPr>
        <w:t xml:space="preserve">. </w:t>
      </w:r>
      <w:r w:rsidR="00B116D8">
        <w:rPr>
          <w:rStyle w:val="ReplacementText"/>
          <w:color w:val="auto"/>
          <w:szCs w:val="20"/>
        </w:rPr>
        <w:t xml:space="preserve"> </w:t>
      </w:r>
      <w:r w:rsidR="004B3985" w:rsidRPr="005408DB">
        <w:rPr>
          <w:rStyle w:val="ReplacementText"/>
          <w:color w:val="auto"/>
          <w:szCs w:val="20"/>
        </w:rPr>
        <w:t>The superseded records authority cannot be used to sentence records after the d</w:t>
      </w:r>
      <w:r w:rsidR="00386FAD" w:rsidRPr="005408DB">
        <w:rPr>
          <w:rStyle w:val="ReplacementText"/>
          <w:color w:val="auto"/>
          <w:szCs w:val="20"/>
        </w:rPr>
        <w:t>ate of issue of this authority.</w:t>
      </w:r>
    </w:p>
    <w:p w14:paraId="381454CD" w14:textId="77777777" w:rsidR="0037789A" w:rsidRDefault="0037789A" w:rsidP="0037789A">
      <w:pPr>
        <w:pStyle w:val="ListParagraph"/>
        <w:numPr>
          <w:ilvl w:val="0"/>
          <w:numId w:val="0"/>
        </w:numPr>
        <w:spacing w:before="89" w:after="120" w:line="240" w:lineRule="auto"/>
        <w:ind w:left="451"/>
        <w:rPr>
          <w:rStyle w:val="ReplacementText"/>
          <w:color w:val="auto"/>
          <w:szCs w:val="20"/>
        </w:rPr>
      </w:pPr>
    </w:p>
    <w:p w14:paraId="50FB92B7" w14:textId="6FF0D0DF" w:rsidR="0015228B" w:rsidRPr="00D11A89" w:rsidRDefault="0037789A" w:rsidP="00A32990">
      <w:pPr>
        <w:pStyle w:val="ListParagraph"/>
        <w:numPr>
          <w:ilvl w:val="0"/>
          <w:numId w:val="4"/>
        </w:numPr>
        <w:spacing w:before="89" w:after="120" w:line="240" w:lineRule="auto"/>
        <w:rPr>
          <w:rStyle w:val="ReplacementText"/>
          <w:color w:val="auto"/>
          <w:szCs w:val="20"/>
        </w:rPr>
      </w:pPr>
      <w:r w:rsidRPr="00D11A89">
        <w:rPr>
          <w:rStyle w:val="ReplacementText"/>
          <w:color w:val="auto"/>
          <w:szCs w:val="20"/>
        </w:rPr>
        <w:t>This authority partially supersedes Records Authority 2011/00324802 (2012) Indigenous Grant and Loan Funding. Classes 34858, 34860, 34863, 34864, 34867 and 35346 cannot be used to sentence Grant Funding records after the date of issue of this authority.</w:t>
      </w:r>
    </w:p>
    <w:p w14:paraId="7E67036E" w14:textId="77777777" w:rsidR="0015228B" w:rsidRDefault="0015228B" w:rsidP="0015228B">
      <w:pPr>
        <w:pStyle w:val="ListParagraph"/>
        <w:numPr>
          <w:ilvl w:val="0"/>
          <w:numId w:val="0"/>
        </w:numPr>
        <w:spacing w:before="89" w:after="120" w:line="240" w:lineRule="auto"/>
        <w:ind w:left="451"/>
        <w:rPr>
          <w:rStyle w:val="ReplacementText"/>
          <w:color w:val="auto"/>
          <w:szCs w:val="20"/>
        </w:rPr>
      </w:pPr>
    </w:p>
    <w:p w14:paraId="66DD3938" w14:textId="3DFBAFE7" w:rsidR="004B3985" w:rsidRPr="00EC686F" w:rsidRDefault="004B3985" w:rsidP="00A32990">
      <w:pPr>
        <w:pStyle w:val="ListParagraph"/>
        <w:numPr>
          <w:ilvl w:val="0"/>
          <w:numId w:val="4"/>
        </w:numPr>
        <w:spacing w:before="89" w:after="120" w:line="240" w:lineRule="auto"/>
        <w:ind w:left="448" w:hanging="357"/>
        <w:contextualSpacing w:val="0"/>
        <w:rPr>
          <w:szCs w:val="20"/>
        </w:rPr>
      </w:pPr>
      <w:r w:rsidRPr="00EC686F">
        <w:rPr>
          <w:szCs w:val="20"/>
        </w:rPr>
        <w:t>This authority is to be used to determine how long records must be kept. Records are matche</w:t>
      </w:r>
      <w:r w:rsidR="00324F76">
        <w:rPr>
          <w:szCs w:val="20"/>
        </w:rPr>
        <w:t>d to the relevant core business</w:t>
      </w:r>
      <w:r w:rsidR="007C0EB2" w:rsidRPr="00EC686F">
        <w:rPr>
          <w:szCs w:val="20"/>
        </w:rPr>
        <w:t xml:space="preserve"> </w:t>
      </w:r>
      <w:r w:rsidRPr="00EC686F">
        <w:rPr>
          <w:szCs w:val="20"/>
        </w:rPr>
        <w:t>and</w:t>
      </w:r>
      <w:r w:rsidR="00F2015A">
        <w:rPr>
          <w:szCs w:val="20"/>
        </w:rPr>
        <w:t xml:space="preserve"> records class in the authority.</w:t>
      </w:r>
    </w:p>
    <w:p w14:paraId="4FE91127" w14:textId="2D319137" w:rsidR="004B3985" w:rsidRPr="00EC686F" w:rsidRDefault="004B3985" w:rsidP="00A32990">
      <w:pPr>
        <w:pStyle w:val="ListParagraph"/>
        <w:numPr>
          <w:ilvl w:val="1"/>
          <w:numId w:val="4"/>
        </w:numPr>
        <w:spacing w:before="89" w:after="120" w:line="240" w:lineRule="auto"/>
        <w:ind w:left="805" w:hanging="357"/>
        <w:contextualSpacing w:val="0"/>
        <w:rPr>
          <w:szCs w:val="20"/>
        </w:rPr>
      </w:pPr>
      <w:r w:rsidRPr="00EC686F">
        <w:rPr>
          <w:szCs w:val="20"/>
        </w:rPr>
        <w:t xml:space="preserve">Where the minimum retention period has expired and the records are not needed </w:t>
      </w:r>
      <w:r w:rsidRPr="005408DB">
        <w:rPr>
          <w:szCs w:val="20"/>
        </w:rPr>
        <w:t xml:space="preserve">for </w:t>
      </w:r>
      <w:r w:rsidR="00F80096" w:rsidRPr="005408DB">
        <w:rPr>
          <w:rStyle w:val="ReplacementText"/>
          <w:color w:val="auto"/>
          <w:szCs w:val="20"/>
        </w:rPr>
        <w:t xml:space="preserve">agency </w:t>
      </w:r>
      <w:r w:rsidRPr="00EC686F">
        <w:rPr>
          <w:szCs w:val="20"/>
        </w:rPr>
        <w:t>business they should be destroyed as authorised in this authority.</w:t>
      </w:r>
    </w:p>
    <w:p w14:paraId="3B43F004" w14:textId="77777777" w:rsidR="004B3985" w:rsidRPr="00EC686F" w:rsidRDefault="004B3985" w:rsidP="00A32990">
      <w:pPr>
        <w:pStyle w:val="ListParagraph"/>
        <w:numPr>
          <w:ilvl w:val="1"/>
          <w:numId w:val="4"/>
        </w:numPr>
        <w:spacing w:before="89" w:after="120" w:line="240" w:lineRule="auto"/>
        <w:ind w:left="805" w:hanging="357"/>
        <w:contextualSpacing w:val="0"/>
        <w:rPr>
          <w:szCs w:val="20"/>
        </w:rPr>
      </w:pPr>
      <w:r w:rsidRPr="00EC686F">
        <w:rPr>
          <w:szCs w:val="20"/>
        </w:rPr>
        <w:t>Records that have not reached the minimum retention period must be kept until they do.</w:t>
      </w:r>
    </w:p>
    <w:p w14:paraId="385BA40B" w14:textId="77777777" w:rsidR="004B3985" w:rsidRPr="008B0EF8" w:rsidRDefault="004B3985" w:rsidP="00A32990">
      <w:pPr>
        <w:pStyle w:val="ListParagraph"/>
        <w:numPr>
          <w:ilvl w:val="1"/>
          <w:numId w:val="4"/>
        </w:numPr>
        <w:spacing w:before="89" w:after="120" w:line="240" w:lineRule="auto"/>
        <w:ind w:left="805" w:hanging="357"/>
        <w:contextualSpacing w:val="0"/>
        <w:rPr>
          <w:rFonts w:cs="Arial"/>
          <w:szCs w:val="20"/>
        </w:rPr>
      </w:pPr>
      <w:r w:rsidRPr="00EC686F">
        <w:rPr>
          <w:szCs w:val="20"/>
        </w:rPr>
        <w:t xml:space="preserve">Records that are identified as ‘retain as national archives’ are to be transferred to the </w:t>
      </w:r>
      <w:r w:rsidRPr="002E62D4">
        <w:rPr>
          <w:rFonts w:cs="Arial"/>
          <w:szCs w:val="20"/>
        </w:rPr>
        <w:t xml:space="preserve">National </w:t>
      </w:r>
      <w:r w:rsidRPr="008B0EF8">
        <w:rPr>
          <w:rFonts w:cs="Arial"/>
          <w:szCs w:val="20"/>
        </w:rPr>
        <w:t>Archives for preservation.</w:t>
      </w:r>
    </w:p>
    <w:p w14:paraId="4F74293F" w14:textId="18EEF651" w:rsidR="005408DB" w:rsidRPr="008B0EF8" w:rsidRDefault="005408DB" w:rsidP="00A32990">
      <w:pPr>
        <w:pStyle w:val="BodyText"/>
        <w:numPr>
          <w:ilvl w:val="0"/>
          <w:numId w:val="4"/>
        </w:numPr>
        <w:spacing w:before="89" w:after="120"/>
        <w:rPr>
          <w:rFonts w:ascii="Arial" w:hAnsi="Arial"/>
        </w:rPr>
      </w:pPr>
      <w:r w:rsidRPr="008B0EF8">
        <w:rPr>
          <w:rFonts w:ascii="Arial" w:hAnsi="Arial"/>
        </w:rPr>
        <w:t xml:space="preserve">This authority provides coverage for grant management that should be suitable for all Commonwealth agencies and will therefore dispense with the need for agencies to include grant management in their agency specific records authority.  It does not supersede </w:t>
      </w:r>
      <w:r w:rsidR="002E6E67" w:rsidRPr="008B0EF8">
        <w:rPr>
          <w:rFonts w:ascii="Arial" w:hAnsi="Arial"/>
        </w:rPr>
        <w:t>existing agency</w:t>
      </w:r>
      <w:r w:rsidR="00192A77" w:rsidRPr="008B0EF8">
        <w:rPr>
          <w:rFonts w:ascii="Arial" w:hAnsi="Arial"/>
        </w:rPr>
        <w:t xml:space="preserve"> specific </w:t>
      </w:r>
      <w:r w:rsidRPr="008B0EF8">
        <w:rPr>
          <w:rFonts w:ascii="Arial" w:hAnsi="Arial"/>
        </w:rPr>
        <w:t>coverage for grant management in current issued records authorities and does not exclude coverage in future records authorities where an agency and the National Archives agree to the need for exceptions coverage.</w:t>
      </w:r>
    </w:p>
    <w:p w14:paraId="2EB104A0" w14:textId="54655B80" w:rsidR="00157D19" w:rsidRPr="00EC686F" w:rsidRDefault="00157D19" w:rsidP="00A32990">
      <w:pPr>
        <w:pStyle w:val="ListParagraph"/>
        <w:numPr>
          <w:ilvl w:val="0"/>
          <w:numId w:val="4"/>
        </w:numPr>
        <w:spacing w:before="89" w:after="120" w:line="240" w:lineRule="auto"/>
        <w:ind w:left="448" w:hanging="357"/>
        <w:contextualSpacing w:val="0"/>
        <w:rPr>
          <w:szCs w:val="20"/>
        </w:rPr>
      </w:pPr>
      <w:r w:rsidRPr="00EC686F">
        <w:rPr>
          <w:szCs w:val="20"/>
        </w:rPr>
        <w:t>This authority should be used in conjunction with general records authorities such as:</w:t>
      </w:r>
    </w:p>
    <w:p w14:paraId="580B44AB" w14:textId="49DB2058" w:rsidR="00157D19" w:rsidRPr="00EC686F" w:rsidRDefault="00276CCA" w:rsidP="00A32990">
      <w:pPr>
        <w:pStyle w:val="ListParagraph"/>
        <w:numPr>
          <w:ilvl w:val="1"/>
          <w:numId w:val="4"/>
        </w:numPr>
        <w:spacing w:before="89" w:after="120" w:line="240" w:lineRule="auto"/>
        <w:ind w:left="805" w:hanging="357"/>
        <w:contextualSpacing w:val="0"/>
        <w:rPr>
          <w:szCs w:val="20"/>
        </w:rPr>
      </w:pPr>
      <w:hyperlink r:id="rId19" w:history="1">
        <w:r w:rsidRPr="00EC686F">
          <w:rPr>
            <w:rStyle w:val="Hyperlink"/>
            <w:i/>
            <w:szCs w:val="20"/>
          </w:rPr>
          <w:t>Administrative Functions Disposal Authority (</w:t>
        </w:r>
        <w:r w:rsidR="00157D19" w:rsidRPr="00EC686F">
          <w:rPr>
            <w:rStyle w:val="Hyperlink"/>
            <w:i/>
            <w:szCs w:val="20"/>
          </w:rPr>
          <w:t>AFDA</w:t>
        </w:r>
        <w:r w:rsidRPr="00EC686F">
          <w:rPr>
            <w:rStyle w:val="Hyperlink"/>
            <w:i/>
            <w:szCs w:val="20"/>
          </w:rPr>
          <w:t>)</w:t>
        </w:r>
        <w:r w:rsidR="00157D19" w:rsidRPr="00EC686F">
          <w:rPr>
            <w:rStyle w:val="Hyperlink"/>
            <w:i/>
            <w:szCs w:val="20"/>
          </w:rPr>
          <w:t xml:space="preserve"> Express</w:t>
        </w:r>
        <w:r w:rsidR="001826BD" w:rsidRPr="00EC686F">
          <w:rPr>
            <w:rStyle w:val="Hyperlink"/>
            <w:i/>
            <w:szCs w:val="20"/>
          </w:rPr>
          <w:t xml:space="preserve"> Version 2</w:t>
        </w:r>
      </w:hyperlink>
      <w:r w:rsidR="00157D19" w:rsidRPr="00EC686F">
        <w:rPr>
          <w:szCs w:val="20"/>
        </w:rPr>
        <w:t xml:space="preserve"> issued by the National Archives to cover business processes and records common to Australian Government agencies; and</w:t>
      </w:r>
    </w:p>
    <w:p w14:paraId="43562618" w14:textId="144F6548" w:rsidR="00157D19" w:rsidRPr="00EC686F" w:rsidRDefault="00157D19" w:rsidP="00A32990">
      <w:pPr>
        <w:pStyle w:val="ListParagraph"/>
        <w:numPr>
          <w:ilvl w:val="1"/>
          <w:numId w:val="4"/>
        </w:numPr>
        <w:spacing w:before="89" w:after="120" w:line="240" w:lineRule="auto"/>
        <w:ind w:left="805" w:hanging="357"/>
        <w:contextualSpacing w:val="0"/>
        <w:rPr>
          <w:szCs w:val="20"/>
        </w:rPr>
      </w:pPr>
      <w:hyperlink r:id="rId20" w:history="1">
        <w:r w:rsidRPr="00EC686F">
          <w:rPr>
            <w:rStyle w:val="Hyperlink"/>
            <w:i/>
            <w:szCs w:val="20"/>
          </w:rPr>
          <w:t xml:space="preserve">General Records Authority </w:t>
        </w:r>
        <w:r w:rsidR="00963541" w:rsidRPr="00EC686F">
          <w:rPr>
            <w:rStyle w:val="Hyperlink"/>
            <w:i/>
            <w:szCs w:val="20"/>
          </w:rPr>
          <w:t>31</w:t>
        </w:r>
        <w:r w:rsidRPr="00EC686F">
          <w:rPr>
            <w:rStyle w:val="Hyperlink"/>
            <w:i/>
            <w:szCs w:val="20"/>
          </w:rPr>
          <w:t xml:space="preserve"> - Destruction of source or original records after digitisation, conversion or migration</w:t>
        </w:r>
      </w:hyperlink>
      <w:r w:rsidRPr="00EC686F">
        <w:rPr>
          <w:szCs w:val="20"/>
        </w:rPr>
        <w:t xml:space="preserve"> (2015).</w:t>
      </w:r>
    </w:p>
    <w:p w14:paraId="5B00359E" w14:textId="77777777" w:rsidR="00157D19" w:rsidRPr="00EC686F" w:rsidRDefault="00157D19" w:rsidP="00A32990">
      <w:pPr>
        <w:pStyle w:val="ListParagraph"/>
        <w:numPr>
          <w:ilvl w:val="0"/>
          <w:numId w:val="4"/>
        </w:numPr>
        <w:spacing w:before="89" w:after="120" w:line="240" w:lineRule="auto"/>
        <w:ind w:left="448" w:hanging="357"/>
        <w:contextualSpacing w:val="0"/>
        <w:rPr>
          <w:szCs w:val="20"/>
        </w:rPr>
      </w:pPr>
      <w:r w:rsidRPr="00EC686F">
        <w:rPr>
          <w:szCs w:val="20"/>
        </w:rPr>
        <w:t xml:space="preserve">The normal administrative practice (NAP) provision of the </w:t>
      </w:r>
      <w:r w:rsidRPr="00EC686F">
        <w:rPr>
          <w:i/>
          <w:szCs w:val="20"/>
        </w:rPr>
        <w:t>Archives Act 1983</w:t>
      </w:r>
      <w:r w:rsidRPr="00EC686F">
        <w:rPr>
          <w:szCs w:val="20"/>
        </w:rPr>
        <w:t xml:space="preserve"> gives agencies permission to destroy certain records without formal authorisation. This usually occurs where records are duplicated, facilitative or for short-term use only. NAP does not replace arrangements agreed to in this authority but can be used as a tool to assist in identifying records for destruction together with an agency's records authority or authorities, and with </w:t>
      </w:r>
      <w:r w:rsidRPr="00EC686F">
        <w:rPr>
          <w:i/>
          <w:szCs w:val="20"/>
        </w:rPr>
        <w:t>AFDA Express</w:t>
      </w:r>
      <w:r w:rsidR="001826BD" w:rsidRPr="00EC686F">
        <w:rPr>
          <w:i/>
          <w:szCs w:val="20"/>
        </w:rPr>
        <w:t xml:space="preserve"> Version 2</w:t>
      </w:r>
      <w:r w:rsidRPr="00EC686F">
        <w:rPr>
          <w:szCs w:val="20"/>
        </w:rPr>
        <w:t xml:space="preserve">. The National Archives recommends that agencies develop and implement a NAP policy. Advice and guidance on destroying records as a normal administrative practice and on how to develop a NAP policy is available from the National Archives' website at </w:t>
      </w:r>
      <w:hyperlink r:id="rId21" w:history="1">
        <w:r w:rsidRPr="00EC686F">
          <w:rPr>
            <w:rStyle w:val="Hyperlink"/>
            <w:szCs w:val="20"/>
          </w:rPr>
          <w:t>www.naa.gov.au</w:t>
        </w:r>
      </w:hyperlink>
      <w:r w:rsidRPr="00EC686F">
        <w:rPr>
          <w:szCs w:val="20"/>
        </w:rPr>
        <w:t>.</w:t>
      </w:r>
    </w:p>
    <w:p w14:paraId="3215D281" w14:textId="77777777" w:rsidR="00157D19" w:rsidRPr="00EC686F" w:rsidRDefault="00157D19" w:rsidP="00A32990">
      <w:pPr>
        <w:pStyle w:val="ListParagraph"/>
        <w:numPr>
          <w:ilvl w:val="0"/>
          <w:numId w:val="4"/>
        </w:numPr>
        <w:spacing w:before="89" w:after="120" w:line="240" w:lineRule="auto"/>
        <w:ind w:left="448" w:hanging="357"/>
        <w:contextualSpacing w:val="0"/>
        <w:rPr>
          <w:szCs w:val="20"/>
        </w:rPr>
      </w:pPr>
      <w:r w:rsidRPr="00EC686F">
        <w:rPr>
          <w:szCs w:val="20"/>
        </w:rPr>
        <w:t xml:space="preserve">Records that are reasonably likely to be needed as evidence in a current or future judicial proceeding or are subject to a request for access under the </w:t>
      </w:r>
      <w:r w:rsidRPr="00EC686F">
        <w:rPr>
          <w:i/>
          <w:szCs w:val="20"/>
        </w:rPr>
        <w:t>Archives Act 1983</w:t>
      </w:r>
      <w:r w:rsidRPr="00EC686F">
        <w:rPr>
          <w:szCs w:val="20"/>
        </w:rPr>
        <w:t xml:space="preserve">, the </w:t>
      </w:r>
      <w:r w:rsidRPr="00EC686F">
        <w:rPr>
          <w:i/>
          <w:szCs w:val="20"/>
        </w:rPr>
        <w:t>Freedom of Information Act 1982</w:t>
      </w:r>
      <w:r w:rsidRPr="00EC686F">
        <w:rPr>
          <w:szCs w:val="20"/>
        </w:rPr>
        <w:t xml:space="preserve"> or any other relevant act must not be destroyed until the action has been completed.</w:t>
      </w:r>
    </w:p>
    <w:p w14:paraId="0A396C1E" w14:textId="77777777" w:rsidR="00157D19" w:rsidRPr="00EC686F" w:rsidRDefault="00157D19" w:rsidP="00A32990">
      <w:pPr>
        <w:pStyle w:val="ListParagraph"/>
        <w:numPr>
          <w:ilvl w:val="0"/>
          <w:numId w:val="4"/>
        </w:numPr>
        <w:spacing w:before="89" w:after="120" w:line="240" w:lineRule="auto"/>
        <w:ind w:left="448" w:hanging="357"/>
        <w:contextualSpacing w:val="0"/>
        <w:rPr>
          <w:szCs w:val="20"/>
        </w:rPr>
      </w:pPr>
      <w:r w:rsidRPr="00EC686F">
        <w:rPr>
          <w:szCs w:val="20"/>
        </w:rPr>
        <w:t xml:space="preserve">Records subject to a disposal freeze must not be destroyed until the freeze has been lifted. Further information about disposal freezes and whether they affect the application of this authority is available from the National Archives website at </w:t>
      </w:r>
      <w:hyperlink r:id="rId22" w:history="1">
        <w:r w:rsidRPr="00EC686F">
          <w:rPr>
            <w:rStyle w:val="Hyperlink"/>
            <w:szCs w:val="20"/>
          </w:rPr>
          <w:t>www.naa.gov.au</w:t>
        </w:r>
      </w:hyperlink>
      <w:r w:rsidRPr="00EC686F">
        <w:rPr>
          <w:szCs w:val="20"/>
        </w:rPr>
        <w:t>.</w:t>
      </w:r>
    </w:p>
    <w:p w14:paraId="57F578CA" w14:textId="7AD21D9F" w:rsidR="00157D19" w:rsidRPr="00052535" w:rsidRDefault="00157D19" w:rsidP="00A32990">
      <w:pPr>
        <w:pStyle w:val="ListParagraph"/>
        <w:numPr>
          <w:ilvl w:val="0"/>
          <w:numId w:val="4"/>
        </w:numPr>
        <w:spacing w:before="89" w:after="120" w:line="240" w:lineRule="auto"/>
        <w:ind w:left="448" w:hanging="357"/>
        <w:contextualSpacing w:val="0"/>
        <w:rPr>
          <w:szCs w:val="20"/>
        </w:rPr>
      </w:pPr>
      <w:r w:rsidRPr="00EC686F">
        <w:rPr>
          <w:szCs w:val="20"/>
        </w:rPr>
        <w:t xml:space="preserve">Where the method of recording information changes (for example from an analogue system to a digital system, or when information is migrated from one system to a new system) this authority can still be applied, providing the records document the same core business. The information must be accessible for the </w:t>
      </w:r>
      <w:proofErr w:type="gramStart"/>
      <w:r w:rsidRPr="00EC686F">
        <w:rPr>
          <w:szCs w:val="20"/>
        </w:rPr>
        <w:t>period of time</w:t>
      </w:r>
      <w:proofErr w:type="gramEnd"/>
      <w:r w:rsidRPr="00EC686F">
        <w:rPr>
          <w:szCs w:val="20"/>
        </w:rPr>
        <w:t xml:space="preserve"> prescribed in this </w:t>
      </w:r>
      <w:r w:rsidRPr="00052535">
        <w:rPr>
          <w:szCs w:val="20"/>
        </w:rPr>
        <w:t xml:space="preserve">authority. </w:t>
      </w:r>
      <w:r w:rsidR="00DA584B" w:rsidRPr="00052535">
        <w:rPr>
          <w:rStyle w:val="ReplacementText"/>
          <w:color w:val="auto"/>
          <w:szCs w:val="20"/>
        </w:rPr>
        <w:t>Agencies</w:t>
      </w:r>
      <w:r w:rsidRPr="00052535">
        <w:rPr>
          <w:szCs w:val="20"/>
        </w:rPr>
        <w:t xml:space="preserve"> will need to maintain continuing access to the information, including digital information, for the periods prescribed in this records authority or until the information is transferred into the custody of the National Archives.</w:t>
      </w:r>
    </w:p>
    <w:p w14:paraId="7F27B891" w14:textId="53E3F372" w:rsidR="00157D19" w:rsidRPr="00052535" w:rsidRDefault="00157D19" w:rsidP="00A32990">
      <w:pPr>
        <w:pStyle w:val="ListParagraph"/>
        <w:numPr>
          <w:ilvl w:val="0"/>
          <w:numId w:val="4"/>
        </w:numPr>
        <w:spacing w:before="89" w:after="120" w:line="240" w:lineRule="auto"/>
        <w:ind w:left="448" w:hanging="357"/>
        <w:contextualSpacing w:val="0"/>
        <w:rPr>
          <w:szCs w:val="20"/>
        </w:rPr>
      </w:pPr>
      <w:r w:rsidRPr="00052535">
        <w:rPr>
          <w:szCs w:val="20"/>
        </w:rPr>
        <w:t xml:space="preserve">In general, retention requirements indicate a minimum period for retention. </w:t>
      </w:r>
      <w:r w:rsidR="00DA584B" w:rsidRPr="00052535">
        <w:rPr>
          <w:rStyle w:val="ReplacementText"/>
          <w:color w:val="auto"/>
          <w:szCs w:val="20"/>
        </w:rPr>
        <w:t>Agencies</w:t>
      </w:r>
      <w:r w:rsidRPr="00052535">
        <w:rPr>
          <w:szCs w:val="20"/>
        </w:rPr>
        <w:t xml:space="preserve"> may extend minimum retention periods if it considers that there is an administrative need to do so, without further reference to the National Archives. Where </w:t>
      </w:r>
      <w:r w:rsidR="00DA584B" w:rsidRPr="00052535">
        <w:rPr>
          <w:rStyle w:val="ReplacementText"/>
          <w:color w:val="auto"/>
          <w:szCs w:val="20"/>
        </w:rPr>
        <w:t>agencies</w:t>
      </w:r>
      <w:r w:rsidRPr="00052535">
        <w:rPr>
          <w:szCs w:val="20"/>
        </w:rPr>
        <w:t xml:space="preserve"> believes that its accountability will be substantially compromised because a retention period or periods are not adequate, it should contact the National Archives for review of the retention period.</w:t>
      </w:r>
    </w:p>
    <w:p w14:paraId="31E0950D" w14:textId="3BAFC20D" w:rsidR="00157D19" w:rsidRPr="00EC686F" w:rsidRDefault="00157D19" w:rsidP="00A32990">
      <w:pPr>
        <w:pStyle w:val="ListParagraph"/>
        <w:numPr>
          <w:ilvl w:val="0"/>
          <w:numId w:val="4"/>
        </w:numPr>
        <w:spacing w:before="89" w:after="120" w:line="240" w:lineRule="auto"/>
        <w:ind w:left="448" w:hanging="357"/>
        <w:contextualSpacing w:val="0"/>
        <w:rPr>
          <w:szCs w:val="20"/>
        </w:rPr>
      </w:pPr>
      <w:r w:rsidRPr="00EC686F">
        <w:rPr>
          <w:szCs w:val="20"/>
        </w:rPr>
        <w:t xml:space="preserve">Records </w:t>
      </w:r>
      <w:r w:rsidR="00FA2A09" w:rsidRPr="00EC686F">
        <w:rPr>
          <w:szCs w:val="20"/>
        </w:rPr>
        <w:t>identified as</w:t>
      </w:r>
      <w:r w:rsidRPr="00EC686F">
        <w:rPr>
          <w:szCs w:val="20"/>
        </w:rPr>
        <w:t xml:space="preserve"> ‘retain as national archives’ class in this authority have been determined to be part of the archival resources of the Commonwealth under section 3C of the </w:t>
      </w:r>
      <w:r w:rsidRPr="00EC686F">
        <w:rPr>
          <w:i/>
          <w:szCs w:val="20"/>
        </w:rPr>
        <w:t>Archives Act 1983</w:t>
      </w:r>
      <w:r w:rsidRPr="00EC686F">
        <w:rPr>
          <w:szCs w:val="20"/>
        </w:rPr>
        <w:t xml:space="preserve">. The determination of Commonwealth records as archival resources of the Commonwealth obliges agencies to transfer the records to the National Archives when they cease to be current and, in any event, within 15 years of the records coming into existence, under section 27 of the </w:t>
      </w:r>
      <w:r w:rsidRPr="00EC686F">
        <w:rPr>
          <w:i/>
          <w:szCs w:val="20"/>
        </w:rPr>
        <w:t>Archives Act 1983</w:t>
      </w:r>
      <w:r w:rsidRPr="00EC686F">
        <w:rPr>
          <w:szCs w:val="20"/>
        </w:rPr>
        <w:t>.</w:t>
      </w:r>
    </w:p>
    <w:p w14:paraId="0FC2EFAA" w14:textId="77777777" w:rsidR="00157D19" w:rsidRPr="00EC686F" w:rsidRDefault="00157D19" w:rsidP="00A32990">
      <w:pPr>
        <w:pStyle w:val="ListParagraph"/>
        <w:numPr>
          <w:ilvl w:val="0"/>
          <w:numId w:val="4"/>
        </w:numPr>
        <w:spacing w:before="89" w:after="120" w:line="240" w:lineRule="auto"/>
        <w:ind w:left="448" w:hanging="357"/>
        <w:contextualSpacing w:val="0"/>
        <w:rPr>
          <w:szCs w:val="20"/>
        </w:rPr>
      </w:pPr>
      <w:r w:rsidRPr="00EC686F">
        <w:rPr>
          <w:szCs w:val="20"/>
        </w:rPr>
        <w:t xml:space="preserve">Records in the care of agencies should be appropriately stored, managed and preserved. Agencies need to meet this obligation to ensure that the records remain authentic and accessible over time. Under Section 31 of the </w:t>
      </w:r>
      <w:r w:rsidRPr="00EC686F">
        <w:rPr>
          <w:i/>
          <w:szCs w:val="20"/>
        </w:rPr>
        <w:t>Archives Act 1983</w:t>
      </w:r>
      <w:r w:rsidRPr="00EC686F">
        <w:rPr>
          <w:szCs w:val="20"/>
        </w:rPr>
        <w:t>, access arrangements are required for records that become available for public access including those records that remain in agency custody.</w:t>
      </w:r>
    </w:p>
    <w:p w14:paraId="4470FB5D" w14:textId="77777777" w:rsidR="00157D19" w:rsidRPr="00EC686F" w:rsidRDefault="00157D19" w:rsidP="00A32990">
      <w:pPr>
        <w:pStyle w:val="ListParagraph"/>
        <w:numPr>
          <w:ilvl w:val="0"/>
          <w:numId w:val="4"/>
        </w:numPr>
        <w:spacing w:before="89" w:after="120" w:line="240" w:lineRule="auto"/>
        <w:ind w:left="448" w:hanging="357"/>
        <w:contextualSpacing w:val="0"/>
        <w:rPr>
          <w:szCs w:val="20"/>
        </w:rPr>
      </w:pPr>
      <w:r w:rsidRPr="00EC686F">
        <w:rPr>
          <w:szCs w:val="20"/>
        </w:rPr>
        <w:t>Appropriate arrangements should be made with the National Archives when records are to be transferred into custody. The National Archives accepts for transfer only those records designated as national archives. Records created digitally after 1 January 2016 can be transferred in digital formats only.</w:t>
      </w:r>
    </w:p>
    <w:p w14:paraId="73E89E2D" w14:textId="6AFF4CCE" w:rsidR="0062659F" w:rsidRPr="0062659F" w:rsidRDefault="00157D19" w:rsidP="00A32990">
      <w:pPr>
        <w:pStyle w:val="ListParagraph"/>
        <w:numPr>
          <w:ilvl w:val="0"/>
          <w:numId w:val="4"/>
        </w:numPr>
        <w:spacing w:before="89" w:line="240" w:lineRule="auto"/>
        <w:ind w:left="448" w:hanging="357"/>
        <w:contextualSpacing w:val="0"/>
        <w:rPr>
          <w:b/>
        </w:rPr>
      </w:pPr>
      <w:r w:rsidRPr="00091FE0">
        <w:rPr>
          <w:szCs w:val="20"/>
        </w:rPr>
        <w:t xml:space="preserve">Advice on how to use this authority is available from </w:t>
      </w:r>
      <w:r w:rsidRPr="00052535">
        <w:rPr>
          <w:szCs w:val="20"/>
        </w:rPr>
        <w:t xml:space="preserve">the </w:t>
      </w:r>
      <w:r w:rsidR="0066641A" w:rsidRPr="00052535">
        <w:rPr>
          <w:rStyle w:val="ReplacementText"/>
          <w:color w:val="auto"/>
          <w:szCs w:val="20"/>
        </w:rPr>
        <w:t>agenc</w:t>
      </w:r>
      <w:r w:rsidR="002F1492" w:rsidRPr="00052535">
        <w:rPr>
          <w:rStyle w:val="ReplacementText"/>
          <w:color w:val="auto"/>
          <w:szCs w:val="20"/>
        </w:rPr>
        <w:t>y’s</w:t>
      </w:r>
      <w:r w:rsidRPr="00052535">
        <w:rPr>
          <w:szCs w:val="20"/>
        </w:rPr>
        <w:t xml:space="preserve"> information </w:t>
      </w:r>
      <w:r w:rsidRPr="00091FE0">
        <w:rPr>
          <w:szCs w:val="20"/>
        </w:rPr>
        <w:t>manager. If there are problems with the application of the authority that cannot be resolved, please</w:t>
      </w:r>
      <w:r w:rsidR="0062659F">
        <w:rPr>
          <w:szCs w:val="20"/>
        </w:rPr>
        <w:t xml:space="preserve"> contact the National Archives</w:t>
      </w:r>
    </w:p>
    <w:p w14:paraId="589D2517" w14:textId="166320A9" w:rsidR="004B3985" w:rsidRPr="0062659F" w:rsidRDefault="004B3985" w:rsidP="00605215">
      <w:pPr>
        <w:pStyle w:val="Heading1"/>
        <w:spacing w:before="300" w:after="300" w:line="240" w:lineRule="auto"/>
      </w:pPr>
      <w:bookmarkStart w:id="3" w:name="_Toc69743666"/>
      <w:r w:rsidRPr="0062659F">
        <w:t>C</w:t>
      </w:r>
      <w:r w:rsidR="0077673D" w:rsidRPr="0062659F">
        <w:t>ONTACT INFORMATION</w:t>
      </w:r>
      <w:bookmarkEnd w:id="3"/>
    </w:p>
    <w:p w14:paraId="40D14564" w14:textId="79EE6514" w:rsidR="00091FE0" w:rsidRDefault="00157D19" w:rsidP="0039451C">
      <w:pPr>
        <w:spacing w:after="120"/>
      </w:pPr>
      <w:r w:rsidRPr="00157D19">
        <w:t xml:space="preserve">For assistance with this authority or for advice on other information management matters, please contact National Archives’ </w:t>
      </w:r>
      <w:hyperlink r:id="rId23" w:history="1">
        <w:r w:rsidRPr="00157D19">
          <w:rPr>
            <w:rStyle w:val="Hyperlink"/>
          </w:rPr>
          <w:t>Agency Service Centre</w:t>
        </w:r>
      </w:hyperlink>
      <w:r w:rsidRPr="00157D19">
        <w:t>.</w:t>
      </w:r>
    </w:p>
    <w:p w14:paraId="749EFB75" w14:textId="3C6584D2" w:rsidR="00BD2782" w:rsidRDefault="00BD2782">
      <w:pPr>
        <w:rPr>
          <w:rFonts w:eastAsiaTheme="majorEastAsia" w:cstheme="majorBidi"/>
          <w:b/>
          <w:sz w:val="34"/>
          <w:szCs w:val="32"/>
        </w:rPr>
      </w:pPr>
    </w:p>
    <w:p w14:paraId="342E19CA" w14:textId="77777777" w:rsidR="0062659F" w:rsidRDefault="0062659F">
      <w:pPr>
        <w:rPr>
          <w:rFonts w:eastAsiaTheme="majorEastAsia" w:cstheme="majorBidi"/>
          <w:b/>
          <w:sz w:val="32"/>
          <w:szCs w:val="32"/>
        </w:rPr>
      </w:pPr>
      <w:r>
        <w:br w:type="page"/>
      </w:r>
    </w:p>
    <w:p w14:paraId="0E56F4B3" w14:textId="4E3DCEA9" w:rsidR="004B3985" w:rsidRDefault="004B3985" w:rsidP="0039451C">
      <w:pPr>
        <w:pStyle w:val="Heading1"/>
        <w:spacing w:before="300" w:after="300" w:line="240" w:lineRule="auto"/>
      </w:pPr>
      <w:bookmarkStart w:id="4" w:name="_Toc69743667"/>
      <w:r>
        <w:t>A</w:t>
      </w:r>
      <w:r w:rsidR="0077673D">
        <w:t>UTHORISATION</w:t>
      </w:r>
      <w:bookmarkEnd w:id="4"/>
    </w:p>
    <w:p w14:paraId="38F63FA2" w14:textId="77777777" w:rsidR="004B3985" w:rsidRDefault="007963F3" w:rsidP="0039451C">
      <w:pPr>
        <w:spacing w:before="240" w:after="0" w:line="240" w:lineRule="auto"/>
      </w:pPr>
      <w:r>
        <w:t xml:space="preserve">Records Authority </w:t>
      </w:r>
      <w:proofErr w:type="spellStart"/>
      <w:r w:rsidRPr="007963F3">
        <w:rPr>
          <w:rStyle w:val="ReplacementText"/>
        </w:rPr>
        <w:t>xxxx</w:t>
      </w:r>
      <w:proofErr w:type="spellEnd"/>
      <w:r w:rsidRPr="007963F3">
        <w:rPr>
          <w:rStyle w:val="ReplacementText"/>
        </w:rPr>
        <w:t>/</w:t>
      </w:r>
      <w:proofErr w:type="spellStart"/>
      <w:r w:rsidRPr="007963F3">
        <w:rPr>
          <w:rStyle w:val="ReplacementText"/>
        </w:rPr>
        <w:t>xxxxxxxx</w:t>
      </w:r>
      <w:proofErr w:type="spellEnd"/>
    </w:p>
    <w:p w14:paraId="59F40410" w14:textId="77777777" w:rsidR="007963F3" w:rsidRPr="00A76C65" w:rsidRDefault="00BF042C" w:rsidP="000E6D77">
      <w:pPr>
        <w:pStyle w:val="Heading2"/>
      </w:pPr>
      <w:r>
        <w:t>Notice of authorisation</w:t>
      </w:r>
    </w:p>
    <w:p w14:paraId="014CCE55" w14:textId="77777777" w:rsidR="00BF042C" w:rsidRDefault="00BF042C">
      <w:r>
        <w:t>Person to whom notice of authorisation is given:</w:t>
      </w:r>
    </w:p>
    <w:p w14:paraId="0A966C55" w14:textId="1A4C82C6" w:rsidR="005408DB" w:rsidRDefault="005408DB">
      <w:r w:rsidRPr="001F5947">
        <w:rPr>
          <w:rFonts w:cs="Arial"/>
          <w:color w:val="000000"/>
        </w:rPr>
        <w:t>H</w:t>
      </w:r>
      <w:r>
        <w:rPr>
          <w:rFonts w:cs="Arial"/>
          <w:color w:val="000000"/>
        </w:rPr>
        <w:t xml:space="preserve">eads of Commonwealth Institutions under the </w:t>
      </w:r>
      <w:r w:rsidRPr="001F5947">
        <w:rPr>
          <w:rFonts w:cs="Arial"/>
          <w:i/>
          <w:iCs/>
          <w:color w:val="000000"/>
        </w:rPr>
        <w:t xml:space="preserve">Archives Act </w:t>
      </w:r>
      <w:r w:rsidR="00832FEE" w:rsidRPr="001F5947">
        <w:rPr>
          <w:rFonts w:cs="Arial"/>
          <w:i/>
          <w:iCs/>
          <w:color w:val="000000"/>
        </w:rPr>
        <w:t>1983</w:t>
      </w:r>
      <w:r w:rsidR="00832FEE">
        <w:rPr>
          <w:rFonts w:cs="Arial"/>
          <w:color w:val="000000"/>
        </w:rPr>
        <w:t xml:space="preserve"> responsible</w:t>
      </w:r>
      <w:r>
        <w:rPr>
          <w:rFonts w:cs="Arial"/>
          <w:color w:val="000000"/>
        </w:rPr>
        <w:t xml:space="preserve"> for Grant Management records</w:t>
      </w:r>
    </w:p>
    <w:p w14:paraId="3604365B" w14:textId="77777777" w:rsidR="007963F3" w:rsidRDefault="00BF042C" w:rsidP="00BF042C">
      <w:pPr>
        <w:pStyle w:val="Heading2"/>
      </w:pPr>
      <w:r>
        <w:t>Purpose</w:t>
      </w:r>
    </w:p>
    <w:p w14:paraId="5AA6125B" w14:textId="7A9F3C78" w:rsidR="00BF042C" w:rsidRPr="005408DB" w:rsidRDefault="00BF042C" w:rsidP="00483312">
      <w:r w:rsidRPr="005408DB">
        <w:t xml:space="preserve">Authorises arrangements for the disposal of records in accordance with </w:t>
      </w:r>
      <w:r w:rsidR="00547758" w:rsidRPr="005408DB">
        <w:t>s</w:t>
      </w:r>
      <w:r w:rsidRPr="005408DB">
        <w:t xml:space="preserve">ection 24(2)(b) of the </w:t>
      </w:r>
      <w:r w:rsidRPr="005408DB">
        <w:rPr>
          <w:i/>
        </w:rPr>
        <w:t>Archives Act 1983</w:t>
      </w:r>
      <w:r w:rsidRPr="005408DB">
        <w:t>.</w:t>
      </w:r>
    </w:p>
    <w:p w14:paraId="59084D09" w14:textId="36588C7B" w:rsidR="007C204A" w:rsidRPr="005408DB" w:rsidRDefault="007C204A" w:rsidP="00483312">
      <w:r w:rsidRPr="005408DB">
        <w:t xml:space="preserve">Determines records classed as ‘retain as national archives’ in this records authority to be part of the archival resources of the Commonwealth under section 3C of the </w:t>
      </w:r>
      <w:r w:rsidRPr="005408DB">
        <w:rPr>
          <w:i/>
        </w:rPr>
        <w:t>Archives Act 1983</w:t>
      </w:r>
      <w:r w:rsidRPr="005408DB">
        <w:t>.</w:t>
      </w:r>
    </w:p>
    <w:p w14:paraId="185A51ED" w14:textId="77777777" w:rsidR="007963F3" w:rsidRDefault="00BF042C" w:rsidP="00BF042C">
      <w:pPr>
        <w:pStyle w:val="Heading2"/>
      </w:pPr>
      <w:r>
        <w:t>Application</w:t>
      </w:r>
    </w:p>
    <w:p w14:paraId="5C05BAFA" w14:textId="636D671C" w:rsidR="00BF042C" w:rsidRDefault="00BF042C">
      <w:r w:rsidRPr="00BF042C">
        <w:t xml:space="preserve">All records relating </w:t>
      </w:r>
      <w:r w:rsidRPr="005408DB">
        <w:t xml:space="preserve">to </w:t>
      </w:r>
      <w:r w:rsidR="005408DB" w:rsidRPr="005408DB">
        <w:rPr>
          <w:rStyle w:val="ReplacementText"/>
          <w:color w:val="auto"/>
        </w:rPr>
        <w:t>Grant Managem</w:t>
      </w:r>
      <w:r w:rsidR="00BA6C4D">
        <w:rPr>
          <w:rStyle w:val="ReplacementText"/>
          <w:color w:val="auto"/>
        </w:rPr>
        <w:t>e</w:t>
      </w:r>
      <w:r w:rsidR="005408DB" w:rsidRPr="005408DB">
        <w:rPr>
          <w:rStyle w:val="ReplacementText"/>
          <w:color w:val="auto"/>
        </w:rPr>
        <w:t>nt.</w:t>
      </w:r>
    </w:p>
    <w:p w14:paraId="62E2E667" w14:textId="21947BD5" w:rsidR="007963F3" w:rsidRDefault="00BF042C" w:rsidP="001B0C1E">
      <w:pPr>
        <w:pStyle w:val="Heading2"/>
        <w:tabs>
          <w:tab w:val="center" w:pos="4513"/>
        </w:tabs>
      </w:pPr>
      <w:r>
        <w:t>Authority</w:t>
      </w:r>
      <w:r w:rsidR="001B0C1E">
        <w:tab/>
      </w:r>
    </w:p>
    <w:p w14:paraId="24F9CB49" w14:textId="7901A03A" w:rsidR="001B0C1E" w:rsidRPr="002E7E43" w:rsidRDefault="00BF042C" w:rsidP="001B0C1E">
      <w:pPr>
        <w:rPr>
          <w:b/>
        </w:rPr>
      </w:pPr>
      <w:r w:rsidRPr="00BF042C">
        <w:t>This authority gives permission for the destruction, retention or transfer to the National Archives of Australia of the records described. This authority will apply only with the consent of the agency currently responsible for the business documented in the records described.</w:t>
      </w:r>
      <w:r w:rsidR="00153BAD">
        <w:br/>
      </w:r>
      <w:r w:rsidR="00153BAD">
        <w:br/>
        <w:t>This document has been authorised</w:t>
      </w:r>
      <w:r w:rsidR="0007463A">
        <w:t xml:space="preserve"> </w:t>
      </w:r>
      <w:r w:rsidR="00153BAD">
        <w:t>through</w:t>
      </w:r>
      <w:r w:rsidR="00AA0B9A">
        <w:t xml:space="preserve"> </w:t>
      </w:r>
      <w:r w:rsidR="00324F76">
        <w:t>a</w:t>
      </w:r>
      <w:r w:rsidR="0007463A">
        <w:t xml:space="preserve"> </w:t>
      </w:r>
      <w:r w:rsidR="00324F76">
        <w:t xml:space="preserve">digital </w:t>
      </w:r>
      <w:r w:rsidR="0007463A">
        <w:t>workflow</w:t>
      </w:r>
      <w:r w:rsidR="00324F76">
        <w:t xml:space="preserve"> </w:t>
      </w:r>
      <w:r w:rsidR="00324F76" w:rsidRPr="00324F76">
        <w:rPr>
          <w:color w:val="ED7D31" w:themeColor="accent2"/>
        </w:rPr>
        <w:t>(RXXXXXXXXX)</w:t>
      </w:r>
      <w:r w:rsidR="0007463A">
        <w:t>.</w:t>
      </w:r>
    </w:p>
    <w:tbl>
      <w:tblPr>
        <w:tblStyle w:val="TableGrid"/>
        <w:tblW w:w="9067" w:type="dxa"/>
        <w:tblBorders>
          <w:insideH w:val="none" w:sz="0" w:space="0" w:color="auto"/>
          <w:insideV w:val="none" w:sz="0" w:space="0" w:color="auto"/>
        </w:tblBorders>
        <w:tblLook w:val="04A0" w:firstRow="1" w:lastRow="0" w:firstColumn="1" w:lastColumn="0" w:noHBand="0" w:noVBand="1"/>
      </w:tblPr>
      <w:tblGrid>
        <w:gridCol w:w="6374"/>
        <w:gridCol w:w="2693"/>
      </w:tblGrid>
      <w:tr w:rsidR="002E7E43" w14:paraId="3C8CC62B" w14:textId="77777777" w:rsidTr="002E7E43">
        <w:tc>
          <w:tcPr>
            <w:tcW w:w="6374" w:type="dxa"/>
          </w:tcPr>
          <w:p w14:paraId="7C747C76" w14:textId="645A0D13" w:rsidR="002E7E43" w:rsidRDefault="002E7E43" w:rsidP="001B0C1E">
            <w:r w:rsidRPr="001B0C1E">
              <w:rPr>
                <w:b/>
              </w:rPr>
              <w:t>Authorising Officer</w:t>
            </w:r>
          </w:p>
        </w:tc>
        <w:tc>
          <w:tcPr>
            <w:tcW w:w="2693" w:type="dxa"/>
          </w:tcPr>
          <w:p w14:paraId="1BD7B022" w14:textId="63710AC8" w:rsidR="002E7E43" w:rsidRDefault="002E7E43" w:rsidP="001B0C1E">
            <w:r w:rsidRPr="001B0C1E">
              <w:rPr>
                <w:b/>
              </w:rPr>
              <w:t>Date of issue</w:t>
            </w:r>
          </w:p>
        </w:tc>
      </w:tr>
      <w:tr w:rsidR="002E7E43" w14:paraId="7E89C2CB" w14:textId="77777777" w:rsidTr="002E7E43">
        <w:tc>
          <w:tcPr>
            <w:tcW w:w="6374" w:type="dxa"/>
          </w:tcPr>
          <w:p w14:paraId="51F58F12" w14:textId="77777777" w:rsidR="002E7E43" w:rsidRDefault="002E7E43" w:rsidP="002E7E43">
            <w:pPr>
              <w:tabs>
                <w:tab w:val="center" w:pos="6810"/>
              </w:tabs>
              <w:spacing w:before="960"/>
              <w:contextualSpacing/>
              <w:rPr>
                <w:color w:val="ED7D31" w:themeColor="accent2"/>
              </w:rPr>
            </w:pPr>
          </w:p>
          <w:p w14:paraId="0D69BB83" w14:textId="1356EDCE" w:rsidR="002E7E43" w:rsidRDefault="00BA6C4D" w:rsidP="002E7E43">
            <w:pPr>
              <w:tabs>
                <w:tab w:val="center" w:pos="6810"/>
              </w:tabs>
              <w:spacing w:before="960"/>
              <w:contextualSpacing/>
              <w:rPr>
                <w:color w:val="ED7D31" w:themeColor="accent2"/>
              </w:rPr>
            </w:pPr>
            <w:r>
              <w:rPr>
                <w:rFonts w:eastAsia="Calibri"/>
                <w:sz w:val="22"/>
              </w:rPr>
              <w:t>Josephine Secis</w:t>
            </w:r>
            <w:r>
              <w:rPr>
                <w:rFonts w:eastAsia="Calibri"/>
                <w:sz w:val="22"/>
              </w:rPr>
              <w:tab/>
            </w:r>
            <w:r>
              <w:rPr>
                <w:rFonts w:eastAsia="Calibri"/>
                <w:sz w:val="22"/>
              </w:rPr>
              <w:br/>
              <w:t>Assistant Director-General, Collection Management</w:t>
            </w:r>
            <w:r w:rsidRPr="001B0C1E">
              <w:rPr>
                <w:color w:val="ED7D31" w:themeColor="accent2"/>
              </w:rPr>
              <w:t xml:space="preserve"> </w:t>
            </w:r>
            <w:r w:rsidR="002E7E43">
              <w:rPr>
                <w:color w:val="ED7D31" w:themeColor="accent2"/>
              </w:rPr>
              <w:t xml:space="preserve"> </w:t>
            </w:r>
          </w:p>
          <w:p w14:paraId="00F87571" w14:textId="50C578D5" w:rsidR="002E7E43" w:rsidRDefault="002E7E43" w:rsidP="002E7E43">
            <w:pPr>
              <w:tabs>
                <w:tab w:val="center" w:pos="6810"/>
              </w:tabs>
              <w:spacing w:before="960"/>
              <w:contextualSpacing/>
            </w:pPr>
            <w:r w:rsidRPr="001B0C1E">
              <w:t>National Archives of Australia</w:t>
            </w:r>
          </w:p>
          <w:p w14:paraId="7F9B33D6" w14:textId="63A7AB90" w:rsidR="002E7E43" w:rsidRDefault="002E7E43" w:rsidP="002E7E43">
            <w:pPr>
              <w:tabs>
                <w:tab w:val="center" w:pos="6810"/>
              </w:tabs>
              <w:spacing w:before="960"/>
              <w:contextualSpacing/>
            </w:pPr>
          </w:p>
        </w:tc>
        <w:tc>
          <w:tcPr>
            <w:tcW w:w="2693" w:type="dxa"/>
          </w:tcPr>
          <w:p w14:paraId="651968EB" w14:textId="77777777" w:rsidR="002E7E43" w:rsidRDefault="002E7E43" w:rsidP="002E7E43">
            <w:pPr>
              <w:tabs>
                <w:tab w:val="center" w:pos="6810"/>
              </w:tabs>
              <w:spacing w:before="960"/>
              <w:contextualSpacing/>
              <w:rPr>
                <w:color w:val="ED7D31" w:themeColor="accent2"/>
              </w:rPr>
            </w:pPr>
          </w:p>
          <w:p w14:paraId="361EDCFF" w14:textId="5744E5A1" w:rsidR="002E7E43" w:rsidRPr="00BA6C4D" w:rsidRDefault="00BA6C4D" w:rsidP="002E7E43">
            <w:pPr>
              <w:tabs>
                <w:tab w:val="center" w:pos="6810"/>
              </w:tabs>
              <w:spacing w:before="960"/>
              <w:contextualSpacing/>
            </w:pPr>
            <w:r w:rsidRPr="00BA6C4D">
              <w:t>2025</w:t>
            </w:r>
          </w:p>
          <w:p w14:paraId="00209F3E" w14:textId="3449B8F9" w:rsidR="002E7E43" w:rsidRDefault="002E7E43" w:rsidP="002E7E43">
            <w:pPr>
              <w:tabs>
                <w:tab w:val="center" w:pos="6810"/>
              </w:tabs>
              <w:spacing w:before="960"/>
              <w:contextualSpacing/>
            </w:pPr>
          </w:p>
        </w:tc>
      </w:tr>
    </w:tbl>
    <w:p w14:paraId="564C60C5" w14:textId="61659E2C" w:rsidR="00153BAD" w:rsidRPr="00153BAD" w:rsidRDefault="00153BAD" w:rsidP="00153BAD">
      <w:pPr>
        <w:tabs>
          <w:tab w:val="left" w:pos="6117"/>
        </w:tabs>
        <w:spacing w:after="120"/>
        <w:rPr>
          <w:rStyle w:val="ReplacementText"/>
          <w:b/>
          <w:color w:val="auto"/>
        </w:rPr>
      </w:pPr>
    </w:p>
    <w:p w14:paraId="177673DE" w14:textId="22FE28B8" w:rsidR="008530C1" w:rsidRDefault="008530C1" w:rsidP="00153BAD">
      <w:pPr>
        <w:tabs>
          <w:tab w:val="left" w:pos="6117"/>
        </w:tabs>
        <w:rPr>
          <w:rStyle w:val="ReplacementText"/>
        </w:rPr>
      </w:pPr>
    </w:p>
    <w:p w14:paraId="50D62E46" w14:textId="77777777" w:rsidR="00C51648" w:rsidRDefault="002626EA">
      <w:pPr>
        <w:sectPr w:rsidR="00C51648" w:rsidSect="00915224">
          <w:headerReference w:type="even" r:id="rId24"/>
          <w:headerReference w:type="default" r:id="rId25"/>
          <w:footerReference w:type="default" r:id="rId26"/>
          <w:headerReference w:type="first" r:id="rId27"/>
          <w:pgSz w:w="11906" w:h="16838"/>
          <w:pgMar w:top="1440" w:right="1440" w:bottom="1440" w:left="1440" w:header="708" w:footer="708" w:gutter="0"/>
          <w:cols w:space="708"/>
          <w:docGrid w:linePitch="360"/>
        </w:sectPr>
      </w:pPr>
      <w:r>
        <w:br w:type="page"/>
      </w:r>
    </w:p>
    <w:p w14:paraId="47C32758" w14:textId="111A37E1" w:rsidR="00091FE0" w:rsidRPr="00913188" w:rsidRDefault="00BA6C4D" w:rsidP="001B0C1E">
      <w:pPr>
        <w:pStyle w:val="Heading1WithPageBreak"/>
        <w:spacing w:before="0" w:after="300" w:line="240" w:lineRule="auto"/>
      </w:pPr>
      <w:r w:rsidRPr="00913188">
        <w:t>Grant Management</w:t>
      </w:r>
    </w:p>
    <w:p w14:paraId="094CA920" w14:textId="77777777" w:rsidR="006F5C04" w:rsidRDefault="006F5C04" w:rsidP="006F5C04">
      <w:pPr>
        <w:pStyle w:val="ACTIVITYTEXT"/>
        <w:spacing w:after="80"/>
      </w:pPr>
      <w:r>
        <w:t>The business of providing and administering grant funding to achieve aims and objectives of government policy and legislation, and to guide grant providers where recipients of their grants are required to act in accordance with specified terms or conditions for the funding received. Consistency in providing and administering grant funding is achieved through rules such as the Commonwealth Grants Rules and Principles.</w:t>
      </w:r>
    </w:p>
    <w:p w14:paraId="041F236F" w14:textId="77777777" w:rsidR="006F5C04" w:rsidRDefault="006F5C04" w:rsidP="006F5C04">
      <w:pPr>
        <w:pStyle w:val="ACTIVITYTEXT"/>
        <w:spacing w:after="80"/>
        <w:ind w:left="360"/>
      </w:pPr>
    </w:p>
    <w:p w14:paraId="39B623D8" w14:textId="7956AE39" w:rsidR="006F5C04" w:rsidRPr="00340E86" w:rsidRDefault="006F5C04" w:rsidP="006F5C04">
      <w:pPr>
        <w:pStyle w:val="ACTIVITYTEXT"/>
        <w:spacing w:after="80"/>
        <w:rPr>
          <w:b/>
          <w:bCs/>
        </w:rPr>
      </w:pPr>
      <w:r>
        <w:t>The funding can be for grant programs and projects including fellowships and scholarships. Includes designing and planning activities; calling for applications and assessing them; obtaining approvals; monitoring progress and reviewing and evaluating.</w:t>
      </w:r>
    </w:p>
    <w:p w14:paraId="52CCA642" w14:textId="1975F922" w:rsidR="00BA6C4D" w:rsidRDefault="00BA6C4D" w:rsidP="00BA6C4D">
      <w:pPr>
        <w:pStyle w:val="ACTIVITYTEXT"/>
        <w:spacing w:before="85" w:after="40"/>
      </w:pPr>
    </w:p>
    <w:p w14:paraId="10131F86" w14:textId="5855CF73" w:rsidR="00BA6C4D" w:rsidRDefault="00BA6C4D" w:rsidP="00BA6C4D">
      <w:pPr>
        <w:pStyle w:val="ACTIVITYTEXT"/>
        <w:spacing w:before="85" w:after="40"/>
      </w:pPr>
      <w:r>
        <w:t xml:space="preserve">Excludes Commonwealth payments to State, Territory or Local Governments, funding of activities relating to the provision of goods and services directly to a </w:t>
      </w:r>
      <w:r w:rsidR="00D11A89">
        <w:t>government</w:t>
      </w:r>
      <w:r>
        <w:t xml:space="preserve"> agency, payments and entitlements, investments or loans of public money, compensation and any other exclusions in relevant financial management legislation.</w:t>
      </w:r>
    </w:p>
    <w:p w14:paraId="377E18D4" w14:textId="77777777" w:rsidR="002665BD" w:rsidRDefault="002665BD" w:rsidP="002665BD">
      <w:pPr>
        <w:spacing w:after="120"/>
      </w:pPr>
    </w:p>
    <w:p w14:paraId="4872E80C" w14:textId="101CAF4F" w:rsidR="00437D9B" w:rsidRDefault="00437D9B" w:rsidP="00437D9B">
      <w:r>
        <w:t xml:space="preserve">The </w:t>
      </w:r>
      <w:r w:rsidRPr="00454454">
        <w:rPr>
          <w:b/>
        </w:rPr>
        <w:t>core activities</w:t>
      </w:r>
      <w:r>
        <w:t xml:space="preserve"> include:</w:t>
      </w:r>
    </w:p>
    <w:p w14:paraId="7DA4FE39" w14:textId="77777777" w:rsidR="00BA6C4D" w:rsidRPr="00A26C15" w:rsidRDefault="00BA6C4D" w:rsidP="00BA6C4D">
      <w:pPr>
        <w:pStyle w:val="ACTIVITYTEXT"/>
        <w:spacing w:after="40"/>
      </w:pPr>
      <w:r w:rsidRPr="00A26C15">
        <w:t>Designing and developing the grant program and project</w:t>
      </w:r>
      <w:r>
        <w:t>:</w:t>
      </w:r>
      <w:r w:rsidRPr="00A26C15">
        <w:t xml:space="preserve">  </w:t>
      </w:r>
    </w:p>
    <w:p w14:paraId="3DB9CA2B" w14:textId="28ECE270" w:rsidR="00BA6C4D" w:rsidRPr="00BA6C4D" w:rsidRDefault="00BC00AE" w:rsidP="00A32990">
      <w:pPr>
        <w:pStyle w:val="ListParagraph"/>
        <w:numPr>
          <w:ilvl w:val="0"/>
          <w:numId w:val="3"/>
        </w:numPr>
        <w:spacing w:before="120" w:after="120" w:line="240" w:lineRule="auto"/>
        <w:ind w:left="357" w:hanging="357"/>
        <w:contextualSpacing w:val="0"/>
        <w:rPr>
          <w:rStyle w:val="ReplacementText"/>
          <w:color w:val="auto"/>
        </w:rPr>
      </w:pPr>
      <w:r>
        <w:rPr>
          <w:rStyle w:val="ReplacementText"/>
          <w:color w:val="auto"/>
        </w:rPr>
        <w:t>e</w:t>
      </w:r>
      <w:r w:rsidR="00BA6C4D" w:rsidRPr="00BA6C4D">
        <w:rPr>
          <w:rStyle w:val="ReplacementText"/>
          <w:color w:val="auto"/>
        </w:rPr>
        <w:t>stablishing the need for and the purpose and objectives of each program and project</w:t>
      </w:r>
      <w:r>
        <w:rPr>
          <w:rStyle w:val="ReplacementText"/>
          <w:color w:val="auto"/>
        </w:rPr>
        <w:t>;</w:t>
      </w:r>
    </w:p>
    <w:p w14:paraId="1B8D9808" w14:textId="5F636267" w:rsidR="00BA6C4D" w:rsidRPr="00BA6C4D" w:rsidRDefault="00BC00AE" w:rsidP="00A32990">
      <w:pPr>
        <w:pStyle w:val="ListParagraph"/>
        <w:numPr>
          <w:ilvl w:val="0"/>
          <w:numId w:val="3"/>
        </w:numPr>
        <w:spacing w:before="120" w:after="120" w:line="240" w:lineRule="auto"/>
        <w:ind w:left="357" w:hanging="357"/>
        <w:contextualSpacing w:val="0"/>
        <w:rPr>
          <w:rStyle w:val="ReplacementText"/>
          <w:color w:val="auto"/>
        </w:rPr>
      </w:pPr>
      <w:r>
        <w:rPr>
          <w:rStyle w:val="ReplacementText"/>
          <w:color w:val="auto"/>
        </w:rPr>
        <w:t>d</w:t>
      </w:r>
      <w:r w:rsidR="00BA6C4D" w:rsidRPr="00BA6C4D">
        <w:rPr>
          <w:rStyle w:val="ReplacementText"/>
          <w:color w:val="auto"/>
        </w:rPr>
        <w:t>eveloping and approving program and project policies, guidelines and procedures</w:t>
      </w:r>
      <w:r>
        <w:rPr>
          <w:rStyle w:val="ReplacementText"/>
          <w:color w:val="auto"/>
        </w:rPr>
        <w:t>;</w:t>
      </w:r>
    </w:p>
    <w:p w14:paraId="220E3E87" w14:textId="5F32665B" w:rsidR="00BA6C4D" w:rsidRDefault="00BC00AE" w:rsidP="00A32990">
      <w:pPr>
        <w:pStyle w:val="ListParagraph"/>
        <w:numPr>
          <w:ilvl w:val="0"/>
          <w:numId w:val="3"/>
        </w:numPr>
        <w:spacing w:before="120" w:after="120" w:line="240" w:lineRule="auto"/>
        <w:ind w:left="357" w:hanging="357"/>
        <w:contextualSpacing w:val="0"/>
        <w:rPr>
          <w:rStyle w:val="ReplacementText"/>
          <w:color w:val="auto"/>
        </w:rPr>
      </w:pPr>
      <w:r>
        <w:rPr>
          <w:rStyle w:val="ReplacementText"/>
          <w:color w:val="auto"/>
        </w:rPr>
        <w:t>d</w:t>
      </w:r>
      <w:r w:rsidR="00BA6C4D" w:rsidRPr="00BA6C4D">
        <w:rPr>
          <w:rStyle w:val="ReplacementText"/>
          <w:color w:val="auto"/>
        </w:rPr>
        <w:t>eveloping assessment criteria including performance measures and assessment processes</w:t>
      </w:r>
      <w:r>
        <w:rPr>
          <w:rStyle w:val="ReplacementText"/>
          <w:color w:val="auto"/>
        </w:rPr>
        <w:t>;</w:t>
      </w:r>
    </w:p>
    <w:p w14:paraId="7A61966D" w14:textId="62997834" w:rsidR="000C1C23" w:rsidRPr="00D11A89" w:rsidRDefault="000C1C23" w:rsidP="00A32990">
      <w:pPr>
        <w:pStyle w:val="ListParagraph"/>
        <w:numPr>
          <w:ilvl w:val="0"/>
          <w:numId w:val="3"/>
        </w:numPr>
        <w:spacing w:before="120" w:after="120" w:line="240" w:lineRule="auto"/>
        <w:ind w:left="357" w:hanging="357"/>
        <w:contextualSpacing w:val="0"/>
        <w:rPr>
          <w:rStyle w:val="ReplacementText"/>
          <w:color w:val="auto"/>
        </w:rPr>
      </w:pPr>
      <w:r w:rsidRPr="00D11A89">
        <w:t>meeting criteria for the use of one-off ad hoc grants</w:t>
      </w:r>
      <w:r w:rsidR="002665BD" w:rsidRPr="00D11A89">
        <w:t>;</w:t>
      </w:r>
    </w:p>
    <w:p w14:paraId="17818FCC" w14:textId="2B8DA413" w:rsidR="00BA6C4D" w:rsidRPr="00340E86" w:rsidRDefault="00BC00AE" w:rsidP="00A32990">
      <w:pPr>
        <w:pStyle w:val="ListParagraph"/>
        <w:numPr>
          <w:ilvl w:val="0"/>
          <w:numId w:val="3"/>
        </w:numPr>
        <w:spacing w:before="120" w:after="120" w:line="240" w:lineRule="auto"/>
        <w:ind w:left="357" w:hanging="357"/>
        <w:contextualSpacing w:val="0"/>
        <w:rPr>
          <w:rStyle w:val="ReplacementText"/>
          <w:color w:val="auto"/>
        </w:rPr>
      </w:pPr>
      <w:r w:rsidRPr="00340E86">
        <w:rPr>
          <w:rStyle w:val="ReplacementText"/>
          <w:color w:val="auto"/>
        </w:rPr>
        <w:t>m</w:t>
      </w:r>
      <w:r w:rsidR="00BA6C4D" w:rsidRPr="00340E86">
        <w:rPr>
          <w:rStyle w:val="ReplacementText"/>
          <w:color w:val="auto"/>
        </w:rPr>
        <w:t>anaging stakeholder consultations</w:t>
      </w:r>
      <w:r w:rsidRPr="00340E86">
        <w:rPr>
          <w:rStyle w:val="ReplacementText"/>
          <w:color w:val="auto"/>
        </w:rPr>
        <w:t>;</w:t>
      </w:r>
    </w:p>
    <w:p w14:paraId="607634E9" w14:textId="73DC3FC5" w:rsidR="00BA6C4D" w:rsidRPr="00340E86" w:rsidRDefault="00BC00AE" w:rsidP="00A32990">
      <w:pPr>
        <w:pStyle w:val="ListParagraph"/>
        <w:numPr>
          <w:ilvl w:val="0"/>
          <w:numId w:val="3"/>
        </w:numPr>
        <w:spacing w:before="120" w:after="120" w:line="240" w:lineRule="auto"/>
        <w:ind w:left="357" w:hanging="357"/>
        <w:contextualSpacing w:val="0"/>
        <w:rPr>
          <w:rStyle w:val="ReplacementText"/>
          <w:color w:val="auto"/>
        </w:rPr>
      </w:pPr>
      <w:r w:rsidRPr="00340E86">
        <w:rPr>
          <w:rStyle w:val="ReplacementText"/>
          <w:color w:val="auto"/>
        </w:rPr>
        <w:t>m</w:t>
      </w:r>
      <w:r w:rsidR="00BA6C4D" w:rsidRPr="00340E86">
        <w:rPr>
          <w:rStyle w:val="ReplacementText"/>
          <w:color w:val="auto"/>
        </w:rPr>
        <w:t>anaging risk including conflicts of interest</w:t>
      </w:r>
      <w:r w:rsidRPr="00340E86">
        <w:rPr>
          <w:rStyle w:val="ReplacementText"/>
          <w:color w:val="auto"/>
        </w:rPr>
        <w:t>;</w:t>
      </w:r>
      <w:r w:rsidR="00BA6C4D" w:rsidRPr="00340E86">
        <w:rPr>
          <w:rStyle w:val="ReplacementText"/>
          <w:color w:val="auto"/>
        </w:rPr>
        <w:t xml:space="preserve"> </w:t>
      </w:r>
    </w:p>
    <w:p w14:paraId="31D8CA81" w14:textId="638764B9" w:rsidR="00BA6C4D" w:rsidRPr="00340E86" w:rsidRDefault="00BC00AE" w:rsidP="00A32990">
      <w:pPr>
        <w:pStyle w:val="ListParagraph"/>
        <w:numPr>
          <w:ilvl w:val="0"/>
          <w:numId w:val="3"/>
        </w:numPr>
        <w:spacing w:before="120" w:after="120" w:line="240" w:lineRule="auto"/>
        <w:ind w:left="357" w:hanging="357"/>
        <w:contextualSpacing w:val="0"/>
        <w:rPr>
          <w:rStyle w:val="ReplacementText"/>
          <w:color w:val="auto"/>
        </w:rPr>
      </w:pPr>
      <w:r w:rsidRPr="00340E86">
        <w:rPr>
          <w:rStyle w:val="ReplacementText"/>
          <w:color w:val="auto"/>
        </w:rPr>
        <w:t>f</w:t>
      </w:r>
      <w:r w:rsidR="00BA6C4D" w:rsidRPr="00340E86">
        <w:rPr>
          <w:rStyle w:val="ReplacementText"/>
          <w:color w:val="auto"/>
        </w:rPr>
        <w:t>inancial planning and analysis</w:t>
      </w:r>
      <w:r w:rsidRPr="00340E86">
        <w:rPr>
          <w:rStyle w:val="ReplacementText"/>
          <w:color w:val="auto"/>
        </w:rPr>
        <w:t>;</w:t>
      </w:r>
      <w:r w:rsidR="00BA6C4D" w:rsidRPr="00340E86">
        <w:rPr>
          <w:rStyle w:val="ReplacementText"/>
          <w:color w:val="auto"/>
        </w:rPr>
        <w:t xml:space="preserve">  </w:t>
      </w:r>
    </w:p>
    <w:p w14:paraId="64DD7401" w14:textId="5C2FE64C" w:rsidR="00BA6C4D" w:rsidRPr="00340E86" w:rsidRDefault="00BC00AE" w:rsidP="00A32990">
      <w:pPr>
        <w:pStyle w:val="ListParagraph"/>
        <w:numPr>
          <w:ilvl w:val="0"/>
          <w:numId w:val="3"/>
        </w:numPr>
        <w:spacing w:before="120" w:after="120" w:line="240" w:lineRule="auto"/>
        <w:ind w:left="357" w:hanging="357"/>
        <w:contextualSpacing w:val="0"/>
        <w:rPr>
          <w:rStyle w:val="ReplacementText"/>
          <w:color w:val="auto"/>
        </w:rPr>
      </w:pPr>
      <w:r w:rsidRPr="00340E86">
        <w:rPr>
          <w:rStyle w:val="ReplacementText"/>
          <w:color w:val="auto"/>
        </w:rPr>
        <w:t>s</w:t>
      </w:r>
      <w:r w:rsidR="00BA6C4D" w:rsidRPr="00340E86">
        <w:rPr>
          <w:rStyle w:val="ReplacementText"/>
          <w:color w:val="auto"/>
        </w:rPr>
        <w:t>eeking approvals for grant program and project financial allocations</w:t>
      </w:r>
      <w:r w:rsidRPr="00340E86">
        <w:rPr>
          <w:rStyle w:val="ReplacementText"/>
          <w:color w:val="auto"/>
        </w:rPr>
        <w:t>;</w:t>
      </w:r>
    </w:p>
    <w:p w14:paraId="1EB82C99" w14:textId="34A2CA53" w:rsidR="00BA6C4D" w:rsidRPr="00340E86" w:rsidRDefault="00BC00AE" w:rsidP="00A32990">
      <w:pPr>
        <w:pStyle w:val="ListParagraph"/>
        <w:numPr>
          <w:ilvl w:val="0"/>
          <w:numId w:val="3"/>
        </w:numPr>
        <w:spacing w:before="120" w:after="120" w:line="240" w:lineRule="auto"/>
        <w:ind w:left="357" w:hanging="357"/>
        <w:contextualSpacing w:val="0"/>
        <w:rPr>
          <w:rStyle w:val="ReplacementText"/>
          <w:color w:val="auto"/>
        </w:rPr>
      </w:pPr>
      <w:r w:rsidRPr="00340E86">
        <w:rPr>
          <w:rStyle w:val="ReplacementText"/>
          <w:color w:val="auto"/>
        </w:rPr>
        <w:t>a</w:t>
      </w:r>
      <w:r w:rsidR="00BA6C4D" w:rsidRPr="00340E86">
        <w:rPr>
          <w:rStyle w:val="ReplacementText"/>
          <w:color w:val="auto"/>
        </w:rPr>
        <w:t>uthorising and delegating powers</w:t>
      </w:r>
      <w:r w:rsidRPr="00340E86">
        <w:rPr>
          <w:rStyle w:val="ReplacementText"/>
          <w:color w:val="auto"/>
        </w:rPr>
        <w:t>; and</w:t>
      </w:r>
    </w:p>
    <w:p w14:paraId="1A93A215" w14:textId="6D86FCCE" w:rsidR="00BA6C4D" w:rsidRPr="00340E86" w:rsidRDefault="00BC00AE" w:rsidP="00A32990">
      <w:pPr>
        <w:pStyle w:val="ListParagraph"/>
        <w:numPr>
          <w:ilvl w:val="0"/>
          <w:numId w:val="3"/>
        </w:numPr>
        <w:spacing w:before="120" w:after="120" w:line="240" w:lineRule="auto"/>
        <w:ind w:left="357" w:hanging="357"/>
        <w:contextualSpacing w:val="0"/>
        <w:rPr>
          <w:rStyle w:val="ReplacementText"/>
          <w:color w:val="auto"/>
        </w:rPr>
      </w:pPr>
      <w:r w:rsidRPr="00340E86">
        <w:rPr>
          <w:rStyle w:val="ReplacementText"/>
          <w:color w:val="auto"/>
        </w:rPr>
        <w:t>d</w:t>
      </w:r>
      <w:r w:rsidR="00BA6C4D" w:rsidRPr="00340E86">
        <w:rPr>
          <w:rStyle w:val="ReplacementText"/>
          <w:color w:val="auto"/>
        </w:rPr>
        <w:t>eveloping communication strategies, information packs, promoting the program and project and responding to enquiries</w:t>
      </w:r>
      <w:r w:rsidRPr="00340E86">
        <w:rPr>
          <w:rStyle w:val="ReplacementText"/>
          <w:color w:val="auto"/>
        </w:rPr>
        <w:t>.</w:t>
      </w:r>
    </w:p>
    <w:p w14:paraId="2CBDB175" w14:textId="77777777" w:rsidR="00BA6C4D" w:rsidRPr="00340E86" w:rsidRDefault="00BA6C4D" w:rsidP="00BA6C4D">
      <w:pPr>
        <w:pStyle w:val="ACTIVITYTEXT"/>
        <w:spacing w:after="40"/>
      </w:pPr>
      <w:r w:rsidRPr="00340E86">
        <w:t>Assessing applications and nominations:</w:t>
      </w:r>
    </w:p>
    <w:p w14:paraId="044DA754" w14:textId="6E9D59CD" w:rsidR="00BA6C4D" w:rsidRPr="00340E86" w:rsidRDefault="00BC00AE" w:rsidP="00A32990">
      <w:pPr>
        <w:pStyle w:val="ListParagraph"/>
        <w:numPr>
          <w:ilvl w:val="0"/>
          <w:numId w:val="3"/>
        </w:numPr>
        <w:spacing w:before="120" w:after="120" w:line="240" w:lineRule="auto"/>
        <w:ind w:left="357" w:hanging="357"/>
        <w:contextualSpacing w:val="0"/>
        <w:rPr>
          <w:rStyle w:val="ReplacementText"/>
          <w:color w:val="auto"/>
        </w:rPr>
      </w:pPr>
      <w:r w:rsidRPr="00340E86">
        <w:rPr>
          <w:rStyle w:val="ReplacementText"/>
          <w:color w:val="auto"/>
        </w:rPr>
        <w:t>r</w:t>
      </w:r>
      <w:r w:rsidR="00BA6C4D" w:rsidRPr="00340E86">
        <w:rPr>
          <w:rStyle w:val="ReplacementText"/>
          <w:color w:val="auto"/>
        </w:rPr>
        <w:t>eceiving and acknowledging applications and nominations</w:t>
      </w:r>
      <w:r w:rsidRPr="00340E86">
        <w:rPr>
          <w:rStyle w:val="ReplacementText"/>
          <w:color w:val="auto"/>
        </w:rPr>
        <w:t>;</w:t>
      </w:r>
    </w:p>
    <w:p w14:paraId="3219027B" w14:textId="258B0E20" w:rsidR="00BA6C4D" w:rsidRPr="00340E86" w:rsidRDefault="00BC00AE" w:rsidP="00A32990">
      <w:pPr>
        <w:pStyle w:val="ListParagraph"/>
        <w:numPr>
          <w:ilvl w:val="0"/>
          <w:numId w:val="3"/>
        </w:numPr>
        <w:spacing w:before="120" w:after="120" w:line="240" w:lineRule="auto"/>
        <w:ind w:left="357" w:hanging="357"/>
        <w:contextualSpacing w:val="0"/>
        <w:rPr>
          <w:rStyle w:val="ReplacementText"/>
          <w:color w:val="auto"/>
        </w:rPr>
      </w:pPr>
      <w:r w:rsidRPr="00340E86">
        <w:rPr>
          <w:rStyle w:val="ReplacementText"/>
          <w:color w:val="auto"/>
        </w:rPr>
        <w:t>e</w:t>
      </w:r>
      <w:r w:rsidR="00BA6C4D" w:rsidRPr="00340E86">
        <w:rPr>
          <w:rStyle w:val="ReplacementText"/>
          <w:color w:val="auto"/>
        </w:rPr>
        <w:t>stablishing assessment panels (where applicable)</w:t>
      </w:r>
      <w:r w:rsidRPr="00340E86">
        <w:rPr>
          <w:rStyle w:val="ReplacementText"/>
          <w:color w:val="auto"/>
        </w:rPr>
        <w:t>;</w:t>
      </w:r>
    </w:p>
    <w:p w14:paraId="0480EEAC" w14:textId="62A9B6D1" w:rsidR="00BA6C4D" w:rsidRPr="00340E86" w:rsidRDefault="00BC00AE" w:rsidP="00A32990">
      <w:pPr>
        <w:pStyle w:val="ListParagraph"/>
        <w:numPr>
          <w:ilvl w:val="0"/>
          <w:numId w:val="3"/>
        </w:numPr>
        <w:spacing w:before="120" w:after="120" w:line="240" w:lineRule="auto"/>
        <w:ind w:left="357" w:hanging="357"/>
        <w:contextualSpacing w:val="0"/>
        <w:rPr>
          <w:rStyle w:val="ReplacementText"/>
          <w:color w:val="auto"/>
        </w:rPr>
      </w:pPr>
      <w:r w:rsidRPr="00340E86">
        <w:rPr>
          <w:rStyle w:val="ReplacementText"/>
          <w:color w:val="auto"/>
        </w:rPr>
        <w:t>p</w:t>
      </w:r>
      <w:r w:rsidR="00BA6C4D" w:rsidRPr="00340E86">
        <w:rPr>
          <w:rStyle w:val="ReplacementText"/>
          <w:color w:val="auto"/>
        </w:rPr>
        <w:t>rocessing and assessing applications and nominations</w:t>
      </w:r>
      <w:r w:rsidRPr="00340E86">
        <w:rPr>
          <w:rStyle w:val="ReplacementText"/>
          <w:color w:val="auto"/>
        </w:rPr>
        <w:t>;</w:t>
      </w:r>
    </w:p>
    <w:p w14:paraId="12227175" w14:textId="2850A937" w:rsidR="005F1D09" w:rsidRPr="00D11A89" w:rsidRDefault="005F1D09" w:rsidP="00A32990">
      <w:pPr>
        <w:pStyle w:val="ListParagraph"/>
        <w:numPr>
          <w:ilvl w:val="0"/>
          <w:numId w:val="3"/>
        </w:numPr>
        <w:spacing w:before="120" w:after="120" w:line="240" w:lineRule="auto"/>
        <w:ind w:left="357" w:hanging="357"/>
        <w:contextualSpacing w:val="0"/>
        <w:rPr>
          <w:rStyle w:val="ReplacementText"/>
          <w:color w:val="auto"/>
        </w:rPr>
      </w:pPr>
      <w:r w:rsidRPr="00D11A89">
        <w:rPr>
          <w:rStyle w:val="ReplacementText"/>
          <w:color w:val="auto"/>
        </w:rPr>
        <w:t>seeking approvals from grant approvers including briefing ministers who are approvers of grants</w:t>
      </w:r>
      <w:r w:rsidR="000C1C23" w:rsidRPr="00D11A89">
        <w:rPr>
          <w:rStyle w:val="ReplacementText"/>
          <w:color w:val="auto"/>
        </w:rPr>
        <w:t>;</w:t>
      </w:r>
    </w:p>
    <w:p w14:paraId="475AEBBD" w14:textId="5D9E0441" w:rsidR="005F1D09" w:rsidRPr="00340E86" w:rsidRDefault="00BC00AE" w:rsidP="00A32990">
      <w:pPr>
        <w:pStyle w:val="ListParagraph"/>
        <w:numPr>
          <w:ilvl w:val="0"/>
          <w:numId w:val="3"/>
        </w:numPr>
        <w:spacing w:before="120" w:after="120" w:line="240" w:lineRule="auto"/>
        <w:ind w:left="357" w:hanging="357"/>
        <w:contextualSpacing w:val="0"/>
        <w:rPr>
          <w:rStyle w:val="ReplacementText"/>
          <w:color w:val="auto"/>
        </w:rPr>
      </w:pPr>
      <w:r w:rsidRPr="00340E86">
        <w:rPr>
          <w:rStyle w:val="ReplacementText"/>
          <w:color w:val="auto"/>
        </w:rPr>
        <w:t>a</w:t>
      </w:r>
      <w:r w:rsidR="00BA6C4D" w:rsidRPr="00340E86">
        <w:rPr>
          <w:rStyle w:val="ReplacementText"/>
          <w:color w:val="auto"/>
        </w:rPr>
        <w:t>dvising applicants of assessment outcomes</w:t>
      </w:r>
      <w:r w:rsidRPr="00340E86">
        <w:rPr>
          <w:rStyle w:val="ReplacementText"/>
          <w:color w:val="auto"/>
        </w:rPr>
        <w:t xml:space="preserve">; </w:t>
      </w:r>
    </w:p>
    <w:p w14:paraId="7D4EFD91" w14:textId="32C9E1B4" w:rsidR="005F1D09" w:rsidRPr="00D11A89" w:rsidRDefault="005F1D09" w:rsidP="00A32990">
      <w:pPr>
        <w:pStyle w:val="ListParagraph"/>
        <w:numPr>
          <w:ilvl w:val="0"/>
          <w:numId w:val="3"/>
        </w:numPr>
        <w:spacing w:before="120" w:after="120" w:line="240" w:lineRule="auto"/>
        <w:ind w:left="357" w:hanging="357"/>
        <w:contextualSpacing w:val="0"/>
        <w:rPr>
          <w:rStyle w:val="ReplacementText"/>
          <w:color w:val="auto"/>
        </w:rPr>
      </w:pPr>
      <w:r w:rsidRPr="00D11A89">
        <w:rPr>
          <w:rStyle w:val="ReplacementText"/>
          <w:color w:val="auto"/>
        </w:rPr>
        <w:t xml:space="preserve">completing the required reporting of grant outcomes, for example on </w:t>
      </w:r>
      <w:hyperlink r:id="rId28" w:tgtFrame="_blank" w:history="1">
        <w:r w:rsidR="000C1C23" w:rsidRPr="00D11A89">
          <w:rPr>
            <w:rStyle w:val="Hyperlink"/>
            <w:color w:val="auto"/>
          </w:rPr>
          <w:t>GrantConnect</w:t>
        </w:r>
      </w:hyperlink>
      <w:r w:rsidR="000C1C23" w:rsidRPr="00340E86">
        <w:t xml:space="preserve">; </w:t>
      </w:r>
    </w:p>
    <w:p w14:paraId="60A7F585" w14:textId="77777777" w:rsidR="000C1C23" w:rsidRPr="00340E86" w:rsidRDefault="005F1D09" w:rsidP="00A32990">
      <w:pPr>
        <w:pStyle w:val="ACTIVITYTEXT"/>
        <w:numPr>
          <w:ilvl w:val="0"/>
          <w:numId w:val="3"/>
        </w:numPr>
        <w:spacing w:before="120" w:after="120"/>
        <w:ind w:left="357" w:hanging="357"/>
      </w:pPr>
      <w:r w:rsidRPr="00D11A89">
        <w:t>meeting additional reporting requirements when ministers are approvers of grants</w:t>
      </w:r>
      <w:r w:rsidRPr="00340E86">
        <w:t xml:space="preserve">; </w:t>
      </w:r>
    </w:p>
    <w:p w14:paraId="6150E29F" w14:textId="17768B8C" w:rsidR="00BA6C4D" w:rsidRPr="00340E86" w:rsidRDefault="000C1C23" w:rsidP="00A32990">
      <w:pPr>
        <w:pStyle w:val="ACTIVITYTEXT"/>
        <w:numPr>
          <w:ilvl w:val="0"/>
          <w:numId w:val="3"/>
        </w:numPr>
        <w:spacing w:before="120" w:after="120"/>
        <w:ind w:left="357" w:hanging="357"/>
        <w:rPr>
          <w:rStyle w:val="ReplacementText"/>
          <w:color w:val="auto"/>
        </w:rPr>
      </w:pPr>
      <w:r w:rsidRPr="00D11A89">
        <w:t>meeting governance and probity requirements for third parties, including parliamentarians involved in grants processes</w:t>
      </w:r>
      <w:r w:rsidR="00340E86">
        <w:t xml:space="preserve">; </w:t>
      </w:r>
      <w:r w:rsidR="00BC00AE" w:rsidRPr="00340E86">
        <w:rPr>
          <w:rStyle w:val="ReplacementText"/>
          <w:color w:val="auto"/>
        </w:rPr>
        <w:t>and</w:t>
      </w:r>
    </w:p>
    <w:p w14:paraId="7712D90E" w14:textId="288C705B" w:rsidR="00BA6C4D" w:rsidRPr="00BA6C4D" w:rsidRDefault="00BC00AE" w:rsidP="00A32990">
      <w:pPr>
        <w:pStyle w:val="ListParagraph"/>
        <w:numPr>
          <w:ilvl w:val="0"/>
          <w:numId w:val="3"/>
        </w:numPr>
        <w:spacing w:before="120" w:after="120" w:line="240" w:lineRule="auto"/>
        <w:ind w:left="357" w:hanging="357"/>
        <w:contextualSpacing w:val="0"/>
        <w:rPr>
          <w:rStyle w:val="ReplacementText"/>
          <w:color w:val="auto"/>
        </w:rPr>
      </w:pPr>
      <w:r>
        <w:rPr>
          <w:rStyle w:val="ReplacementText"/>
          <w:color w:val="auto"/>
        </w:rPr>
        <w:t>m</w:t>
      </w:r>
      <w:r w:rsidR="00BA6C4D" w:rsidRPr="00BA6C4D">
        <w:rPr>
          <w:rStyle w:val="ReplacementText"/>
          <w:color w:val="auto"/>
        </w:rPr>
        <w:t>anaging complaints and formal appeals</w:t>
      </w:r>
      <w:r>
        <w:rPr>
          <w:rStyle w:val="ReplacementText"/>
          <w:color w:val="auto"/>
        </w:rPr>
        <w:t>.</w:t>
      </w:r>
    </w:p>
    <w:p w14:paraId="291DF27C" w14:textId="77777777" w:rsidR="00BA6C4D" w:rsidRPr="00A26C15" w:rsidRDefault="00BA6C4D" w:rsidP="00BA6C4D">
      <w:pPr>
        <w:pStyle w:val="ACTIVITYTEXT"/>
        <w:spacing w:after="40"/>
      </w:pPr>
      <w:r w:rsidRPr="00A26C15">
        <w:t>Managing grant progress</w:t>
      </w:r>
      <w:r>
        <w:t>:</w:t>
      </w:r>
    </w:p>
    <w:p w14:paraId="7CEC5762" w14:textId="2EBF12F9" w:rsidR="00BA6C4D" w:rsidRPr="00BA6C4D" w:rsidRDefault="00BC00AE" w:rsidP="00A32990">
      <w:pPr>
        <w:pStyle w:val="ListParagraph"/>
        <w:numPr>
          <w:ilvl w:val="0"/>
          <w:numId w:val="3"/>
        </w:numPr>
        <w:spacing w:before="120" w:after="120" w:line="240" w:lineRule="auto"/>
        <w:ind w:left="357" w:hanging="357"/>
        <w:contextualSpacing w:val="0"/>
        <w:rPr>
          <w:rStyle w:val="ReplacementText"/>
          <w:color w:val="auto"/>
        </w:rPr>
      </w:pPr>
      <w:r>
        <w:rPr>
          <w:rStyle w:val="ReplacementText"/>
          <w:color w:val="auto"/>
        </w:rPr>
        <w:t>e</w:t>
      </w:r>
      <w:r w:rsidR="00BA6C4D" w:rsidRPr="00BA6C4D">
        <w:rPr>
          <w:rStyle w:val="ReplacementText"/>
          <w:color w:val="auto"/>
        </w:rPr>
        <w:t>stablishing and varying funding agreements</w:t>
      </w:r>
      <w:r>
        <w:rPr>
          <w:rStyle w:val="ReplacementText"/>
          <w:color w:val="auto"/>
        </w:rPr>
        <w:t>;</w:t>
      </w:r>
    </w:p>
    <w:p w14:paraId="11E150BA" w14:textId="7347B1F8" w:rsidR="00BA6C4D" w:rsidRPr="00BA6C4D" w:rsidRDefault="00BC00AE" w:rsidP="00A32990">
      <w:pPr>
        <w:pStyle w:val="ListParagraph"/>
        <w:numPr>
          <w:ilvl w:val="0"/>
          <w:numId w:val="3"/>
        </w:numPr>
        <w:spacing w:before="120" w:after="120" w:line="240" w:lineRule="auto"/>
        <w:ind w:left="357" w:hanging="357"/>
        <w:contextualSpacing w:val="0"/>
        <w:rPr>
          <w:rStyle w:val="ReplacementText"/>
          <w:color w:val="auto"/>
        </w:rPr>
      </w:pPr>
      <w:r>
        <w:rPr>
          <w:rStyle w:val="ReplacementText"/>
          <w:color w:val="auto"/>
        </w:rPr>
        <w:t>p</w:t>
      </w:r>
      <w:r w:rsidR="00BA6C4D" w:rsidRPr="00BA6C4D">
        <w:rPr>
          <w:rStyle w:val="ReplacementText"/>
          <w:color w:val="auto"/>
        </w:rPr>
        <w:t>erformance monitoring</w:t>
      </w:r>
      <w:r>
        <w:rPr>
          <w:rStyle w:val="ReplacementText"/>
          <w:color w:val="auto"/>
        </w:rPr>
        <w:t>;</w:t>
      </w:r>
      <w:r w:rsidR="00BA6C4D" w:rsidRPr="00BA6C4D">
        <w:rPr>
          <w:rStyle w:val="ReplacementText"/>
          <w:color w:val="auto"/>
        </w:rPr>
        <w:t xml:space="preserve"> </w:t>
      </w:r>
    </w:p>
    <w:p w14:paraId="0BE2A872" w14:textId="20837D4B" w:rsidR="00BA6C4D" w:rsidRPr="00BA6C4D" w:rsidRDefault="00BC00AE" w:rsidP="00A32990">
      <w:pPr>
        <w:pStyle w:val="ListParagraph"/>
        <w:numPr>
          <w:ilvl w:val="0"/>
          <w:numId w:val="3"/>
        </w:numPr>
        <w:spacing w:before="120" w:after="120" w:line="240" w:lineRule="auto"/>
        <w:ind w:left="357" w:hanging="357"/>
        <w:contextualSpacing w:val="0"/>
        <w:rPr>
          <w:rStyle w:val="ReplacementText"/>
          <w:color w:val="auto"/>
        </w:rPr>
      </w:pPr>
      <w:r>
        <w:rPr>
          <w:rStyle w:val="ReplacementText"/>
          <w:color w:val="auto"/>
        </w:rPr>
        <w:t>f</w:t>
      </w:r>
      <w:r w:rsidR="00BA6C4D" w:rsidRPr="00BA6C4D">
        <w:rPr>
          <w:rStyle w:val="ReplacementText"/>
          <w:color w:val="auto"/>
        </w:rPr>
        <w:t>inancial monitoring, fund acquittal</w:t>
      </w:r>
      <w:r>
        <w:rPr>
          <w:rStyle w:val="ReplacementText"/>
          <w:color w:val="auto"/>
        </w:rPr>
        <w:t>; and</w:t>
      </w:r>
    </w:p>
    <w:p w14:paraId="1164CBB9" w14:textId="5FD84AAB" w:rsidR="00BA6C4D" w:rsidRPr="00BA6C4D" w:rsidRDefault="00BC00AE" w:rsidP="00A32990">
      <w:pPr>
        <w:pStyle w:val="ListParagraph"/>
        <w:numPr>
          <w:ilvl w:val="0"/>
          <w:numId w:val="3"/>
        </w:numPr>
        <w:spacing w:before="120" w:after="120" w:line="240" w:lineRule="auto"/>
        <w:ind w:left="357" w:hanging="357"/>
        <w:contextualSpacing w:val="0"/>
        <w:rPr>
          <w:rStyle w:val="ReplacementText"/>
          <w:color w:val="auto"/>
        </w:rPr>
      </w:pPr>
      <w:r>
        <w:rPr>
          <w:rStyle w:val="ReplacementText"/>
          <w:color w:val="auto"/>
        </w:rPr>
        <w:t>m</w:t>
      </w:r>
      <w:r w:rsidR="00BA6C4D" w:rsidRPr="00BA6C4D">
        <w:rPr>
          <w:rStyle w:val="ReplacementText"/>
          <w:color w:val="auto"/>
        </w:rPr>
        <w:t>anaging debt recovery and fraud</w:t>
      </w:r>
      <w:r>
        <w:rPr>
          <w:rStyle w:val="ReplacementText"/>
          <w:color w:val="auto"/>
        </w:rPr>
        <w:t>.</w:t>
      </w:r>
    </w:p>
    <w:p w14:paraId="62E8356C" w14:textId="77777777" w:rsidR="00BA6C4D" w:rsidRPr="00A26C15" w:rsidRDefault="00BA6C4D" w:rsidP="00BA6C4D">
      <w:pPr>
        <w:pStyle w:val="ACTIVITYTEXT"/>
        <w:spacing w:after="40"/>
      </w:pPr>
      <w:r w:rsidRPr="00A26C15">
        <w:t>Winding up and assessing the grant program and project</w:t>
      </w:r>
      <w:r>
        <w:t>:</w:t>
      </w:r>
    </w:p>
    <w:p w14:paraId="01565970" w14:textId="07B56A5A" w:rsidR="00BA6C4D" w:rsidRPr="00BA6C4D" w:rsidRDefault="00BC00AE" w:rsidP="00A32990">
      <w:pPr>
        <w:pStyle w:val="ListParagraph"/>
        <w:numPr>
          <w:ilvl w:val="0"/>
          <w:numId w:val="3"/>
        </w:numPr>
        <w:spacing w:before="120" w:after="120" w:line="240" w:lineRule="auto"/>
        <w:ind w:left="357" w:hanging="357"/>
        <w:contextualSpacing w:val="0"/>
        <w:rPr>
          <w:rStyle w:val="ReplacementText"/>
          <w:color w:val="auto"/>
        </w:rPr>
      </w:pPr>
      <w:r>
        <w:rPr>
          <w:rStyle w:val="ReplacementText"/>
          <w:color w:val="auto"/>
        </w:rPr>
        <w:t>r</w:t>
      </w:r>
      <w:r w:rsidR="00BA6C4D" w:rsidRPr="00BA6C4D">
        <w:rPr>
          <w:rStyle w:val="ReplacementText"/>
          <w:color w:val="auto"/>
        </w:rPr>
        <w:t>eporting</w:t>
      </w:r>
      <w:r>
        <w:rPr>
          <w:rStyle w:val="ReplacementText"/>
          <w:color w:val="auto"/>
        </w:rPr>
        <w:t>; and</w:t>
      </w:r>
      <w:r w:rsidR="00BA6C4D" w:rsidRPr="00BA6C4D">
        <w:rPr>
          <w:rStyle w:val="ReplacementText"/>
          <w:color w:val="auto"/>
        </w:rPr>
        <w:t xml:space="preserve">  </w:t>
      </w:r>
    </w:p>
    <w:p w14:paraId="7AA97C31" w14:textId="3501F057" w:rsidR="003D4D47" w:rsidRPr="00650F75" w:rsidRDefault="00BC00AE" w:rsidP="00A32990">
      <w:pPr>
        <w:pStyle w:val="ListParagraph"/>
        <w:numPr>
          <w:ilvl w:val="0"/>
          <w:numId w:val="3"/>
        </w:numPr>
        <w:spacing w:before="120" w:after="120" w:line="240" w:lineRule="auto"/>
        <w:ind w:left="357" w:hanging="357"/>
        <w:contextualSpacing w:val="0"/>
      </w:pPr>
      <w:r>
        <w:rPr>
          <w:rStyle w:val="ReplacementText"/>
          <w:color w:val="auto"/>
        </w:rPr>
        <w:t>a</w:t>
      </w:r>
      <w:r w:rsidR="00BA6C4D" w:rsidRPr="00BA6C4D">
        <w:rPr>
          <w:rStyle w:val="ReplacementText"/>
          <w:color w:val="auto"/>
        </w:rPr>
        <w:t>uditing, evaluating and reviewing.</w:t>
      </w:r>
    </w:p>
    <w:p w14:paraId="266E09EE" w14:textId="77777777" w:rsidR="00597D50" w:rsidRDefault="00597D50" w:rsidP="00597D50">
      <w:pPr>
        <w:pStyle w:val="ACTIVITYTEXT"/>
        <w:spacing w:after="80"/>
        <w:rPr>
          <w:lang w:val="en-GB"/>
        </w:rPr>
      </w:pPr>
      <w:r>
        <w:t xml:space="preserve">Providing </w:t>
      </w:r>
      <w:r w:rsidRPr="00650F75">
        <w:t xml:space="preserve">Grant </w:t>
      </w:r>
      <w:r>
        <w:t>M</w:t>
      </w:r>
      <w:r w:rsidRPr="00650F75">
        <w:t xml:space="preserve">anagement services </w:t>
      </w:r>
      <w:r>
        <w:t>on behalf of Aus</w:t>
      </w:r>
      <w:proofErr w:type="spellStart"/>
      <w:r w:rsidRPr="00B943CF">
        <w:rPr>
          <w:lang w:val="en-GB"/>
        </w:rPr>
        <w:t>t</w:t>
      </w:r>
      <w:r>
        <w:rPr>
          <w:lang w:val="en-GB"/>
        </w:rPr>
        <w:t>ralian</w:t>
      </w:r>
      <w:proofErr w:type="spellEnd"/>
      <w:r w:rsidRPr="00B943CF">
        <w:rPr>
          <w:lang w:val="en-GB"/>
        </w:rPr>
        <w:t xml:space="preserve"> Government agencies,</w:t>
      </w:r>
    </w:p>
    <w:p w14:paraId="667FBE82" w14:textId="77777777" w:rsidR="00597D50" w:rsidRDefault="00597D50" w:rsidP="00A32990">
      <w:pPr>
        <w:pStyle w:val="ACTIVITYTEXT"/>
        <w:numPr>
          <w:ilvl w:val="0"/>
          <w:numId w:val="5"/>
        </w:numPr>
        <w:spacing w:after="80"/>
        <w:rPr>
          <w:lang w:val="en-GB"/>
        </w:rPr>
      </w:pPr>
      <w:r>
        <w:rPr>
          <w:lang w:val="en-GB"/>
        </w:rPr>
        <w:t>hosting grant management platforms</w:t>
      </w:r>
    </w:p>
    <w:p w14:paraId="4DBC7344" w14:textId="77777777" w:rsidR="00597D50" w:rsidRPr="003D4D47" w:rsidRDefault="00597D50" w:rsidP="00A32990">
      <w:pPr>
        <w:pStyle w:val="ACTIVITYTEXT"/>
        <w:numPr>
          <w:ilvl w:val="0"/>
          <w:numId w:val="5"/>
        </w:numPr>
        <w:spacing w:after="80"/>
        <w:rPr>
          <w:b/>
          <w:bCs/>
        </w:rPr>
      </w:pPr>
      <w:r w:rsidRPr="00B943CF">
        <w:rPr>
          <w:lang w:val="en-GB"/>
        </w:rPr>
        <w:t>Services include developing and administering grants</w:t>
      </w:r>
      <w:r>
        <w:rPr>
          <w:lang w:val="en-GB"/>
        </w:rPr>
        <w:t xml:space="preserve"> </w:t>
      </w:r>
      <w:r w:rsidRPr="00B943CF">
        <w:rPr>
          <w:lang w:val="en-GB"/>
        </w:rPr>
        <w:t>under Memoranda of Understanding (MOUs)</w:t>
      </w:r>
      <w:r>
        <w:rPr>
          <w:lang w:val="en-GB"/>
        </w:rPr>
        <w:t xml:space="preserve"> </w:t>
      </w:r>
      <w:r w:rsidRPr="00B943CF">
        <w:rPr>
          <w:lang w:val="en-GB"/>
        </w:rPr>
        <w:t xml:space="preserve">in line with the </w:t>
      </w:r>
      <w:r w:rsidRPr="003D4D47">
        <w:rPr>
          <w:b/>
          <w:bCs/>
        </w:rPr>
        <w:t>Commonwealth Grants Rules and Principles</w:t>
      </w:r>
    </w:p>
    <w:p w14:paraId="519EE313" w14:textId="77777777" w:rsidR="00597D50" w:rsidRDefault="00597D50" w:rsidP="00A32990">
      <w:pPr>
        <w:pStyle w:val="ACTIVITYTEXT"/>
        <w:numPr>
          <w:ilvl w:val="0"/>
          <w:numId w:val="5"/>
        </w:numPr>
        <w:spacing w:after="80"/>
        <w:rPr>
          <w:lang w:val="en-GB"/>
        </w:rPr>
      </w:pPr>
      <w:r>
        <w:rPr>
          <w:lang w:val="en-GB"/>
        </w:rPr>
        <w:t xml:space="preserve">Publishing expected grant opportunities, grant opportunities and grant outcomes in line with reporting requirements. </w:t>
      </w:r>
    </w:p>
    <w:p w14:paraId="2D1FC574" w14:textId="77777777" w:rsidR="00BA6C4D" w:rsidRDefault="00BA6C4D" w:rsidP="00437D9B"/>
    <w:p w14:paraId="2733A4C4" w14:textId="33B371E8" w:rsidR="00437D9B" w:rsidRPr="0028518A" w:rsidRDefault="00437D9B" w:rsidP="00F3473E">
      <w:pPr>
        <w:spacing w:before="120" w:after="120" w:line="240" w:lineRule="auto"/>
        <w:rPr>
          <w:szCs w:val="20"/>
        </w:rPr>
      </w:pPr>
      <w:r w:rsidRPr="0028518A">
        <w:rPr>
          <w:szCs w:val="20"/>
        </w:rPr>
        <w:t>The p</w:t>
      </w:r>
      <w:r w:rsidR="00324F76" w:rsidRPr="0028518A">
        <w:rPr>
          <w:szCs w:val="20"/>
        </w:rPr>
        <w:t>erformance of the core business</w:t>
      </w:r>
      <w:r w:rsidR="007C0EB2" w:rsidRPr="0028518A">
        <w:rPr>
          <w:szCs w:val="20"/>
        </w:rPr>
        <w:t xml:space="preserve"> </w:t>
      </w:r>
      <w:r w:rsidRPr="0028518A">
        <w:rPr>
          <w:szCs w:val="20"/>
        </w:rPr>
        <w:t xml:space="preserve">is supported by </w:t>
      </w:r>
      <w:r w:rsidR="0028518A" w:rsidRPr="0028518A">
        <w:rPr>
          <w:b/>
          <w:bCs/>
          <w:szCs w:val="20"/>
        </w:rPr>
        <w:t>routine administrative tasks</w:t>
      </w:r>
      <w:r w:rsidRPr="0028518A">
        <w:rPr>
          <w:szCs w:val="20"/>
        </w:rPr>
        <w:t xml:space="preserve"> such as:</w:t>
      </w:r>
    </w:p>
    <w:p w14:paraId="2154AFB3" w14:textId="77777777" w:rsidR="007D3393" w:rsidRDefault="0028518A" w:rsidP="00A32990">
      <w:pPr>
        <w:pStyle w:val="CrossReferenceHeading"/>
        <w:numPr>
          <w:ilvl w:val="0"/>
          <w:numId w:val="8"/>
        </w:numPr>
        <w:spacing w:before="180" w:line="240" w:lineRule="auto"/>
        <w:rPr>
          <w:b w:val="0"/>
          <w:iCs/>
          <w:sz w:val="20"/>
          <w:szCs w:val="20"/>
        </w:rPr>
      </w:pPr>
      <w:r w:rsidRPr="00A6134D">
        <w:rPr>
          <w:b w:val="0"/>
          <w:iCs/>
          <w:sz w:val="20"/>
          <w:szCs w:val="20"/>
        </w:rPr>
        <w:t>providing and receiving advice;</w:t>
      </w:r>
    </w:p>
    <w:p w14:paraId="50C49A1F" w14:textId="77777777" w:rsidR="007D3393" w:rsidRDefault="00284024" w:rsidP="00A32990">
      <w:pPr>
        <w:pStyle w:val="CrossReferenceHeading"/>
        <w:numPr>
          <w:ilvl w:val="0"/>
          <w:numId w:val="8"/>
        </w:numPr>
        <w:spacing w:before="180" w:line="240" w:lineRule="auto"/>
        <w:rPr>
          <w:b w:val="0"/>
          <w:iCs/>
          <w:sz w:val="20"/>
          <w:szCs w:val="20"/>
        </w:rPr>
      </w:pPr>
      <w:r w:rsidRPr="007D3393">
        <w:rPr>
          <w:b w:val="0"/>
          <w:iCs/>
          <w:sz w:val="20"/>
          <w:szCs w:val="20"/>
        </w:rPr>
        <w:t>preparing and presenting addresses;</w:t>
      </w:r>
    </w:p>
    <w:p w14:paraId="1F8D5922" w14:textId="77777777" w:rsidR="007D3393" w:rsidRDefault="0028518A" w:rsidP="00A32990">
      <w:pPr>
        <w:pStyle w:val="CrossReferenceHeading"/>
        <w:numPr>
          <w:ilvl w:val="0"/>
          <w:numId w:val="8"/>
        </w:numPr>
        <w:spacing w:before="180" w:line="240" w:lineRule="auto"/>
        <w:rPr>
          <w:b w:val="0"/>
          <w:iCs/>
          <w:sz w:val="20"/>
          <w:szCs w:val="20"/>
        </w:rPr>
      </w:pPr>
      <w:r w:rsidRPr="007D3393">
        <w:rPr>
          <w:b w:val="0"/>
          <w:iCs/>
          <w:sz w:val="20"/>
          <w:szCs w:val="20"/>
        </w:rPr>
        <w:t>auditing;</w:t>
      </w:r>
    </w:p>
    <w:p w14:paraId="7D84AF65" w14:textId="77777777" w:rsidR="007D3393" w:rsidRDefault="0028518A" w:rsidP="00A32990">
      <w:pPr>
        <w:pStyle w:val="CrossReferenceHeading"/>
        <w:numPr>
          <w:ilvl w:val="0"/>
          <w:numId w:val="8"/>
        </w:numPr>
        <w:spacing w:before="180" w:line="240" w:lineRule="auto"/>
        <w:rPr>
          <w:b w:val="0"/>
          <w:iCs/>
          <w:sz w:val="20"/>
          <w:szCs w:val="20"/>
        </w:rPr>
      </w:pPr>
      <w:r w:rsidRPr="007D3393">
        <w:rPr>
          <w:b w:val="0"/>
          <w:iCs/>
          <w:sz w:val="20"/>
          <w:szCs w:val="20"/>
        </w:rPr>
        <w:t>managing committees and meetings;</w:t>
      </w:r>
    </w:p>
    <w:p w14:paraId="728AB92A" w14:textId="77777777" w:rsidR="007D3393" w:rsidRDefault="0028518A" w:rsidP="00A32990">
      <w:pPr>
        <w:pStyle w:val="CrossReferenceHeading"/>
        <w:numPr>
          <w:ilvl w:val="0"/>
          <w:numId w:val="8"/>
        </w:numPr>
        <w:spacing w:before="180" w:line="240" w:lineRule="auto"/>
        <w:rPr>
          <w:b w:val="0"/>
          <w:iCs/>
          <w:sz w:val="20"/>
          <w:szCs w:val="20"/>
        </w:rPr>
      </w:pPr>
      <w:r w:rsidRPr="007D3393">
        <w:rPr>
          <w:b w:val="0"/>
          <w:iCs/>
          <w:sz w:val="20"/>
          <w:szCs w:val="20"/>
        </w:rPr>
        <w:t>delegating powers and authorising actions;</w:t>
      </w:r>
    </w:p>
    <w:p w14:paraId="5E0BC265" w14:textId="77777777" w:rsidR="007D3393" w:rsidRPr="007D3393" w:rsidRDefault="0028518A" w:rsidP="00A32990">
      <w:pPr>
        <w:pStyle w:val="CrossReferenceHeading"/>
        <w:numPr>
          <w:ilvl w:val="0"/>
          <w:numId w:val="8"/>
        </w:numPr>
        <w:spacing w:before="180" w:line="240" w:lineRule="auto"/>
        <w:rPr>
          <w:b w:val="0"/>
          <w:iCs/>
          <w:sz w:val="20"/>
          <w:szCs w:val="20"/>
        </w:rPr>
      </w:pPr>
      <w:r w:rsidRPr="007D3393">
        <w:rPr>
          <w:b w:val="0"/>
          <w:iCs/>
          <w:sz w:val="20"/>
          <w:szCs w:val="20"/>
        </w:rPr>
        <w:t>developing procedures;</w:t>
      </w:r>
    </w:p>
    <w:p w14:paraId="05D67D70" w14:textId="77777777" w:rsidR="007D3393" w:rsidRPr="007D3393" w:rsidRDefault="0028518A" w:rsidP="00A32990">
      <w:pPr>
        <w:pStyle w:val="CrossReferenceHeading"/>
        <w:numPr>
          <w:ilvl w:val="0"/>
          <w:numId w:val="8"/>
        </w:numPr>
        <w:spacing w:before="180" w:line="240" w:lineRule="auto"/>
        <w:rPr>
          <w:b w:val="0"/>
          <w:iCs/>
          <w:sz w:val="20"/>
          <w:szCs w:val="20"/>
        </w:rPr>
      </w:pPr>
      <w:r w:rsidRPr="007D3393">
        <w:rPr>
          <w:b w:val="0"/>
          <w:iCs/>
          <w:sz w:val="20"/>
          <w:szCs w:val="20"/>
        </w:rPr>
        <w:t>planning and managing risks; and</w:t>
      </w:r>
    </w:p>
    <w:p w14:paraId="3A9FD58A" w14:textId="732C4EC3" w:rsidR="0028518A" w:rsidRPr="007D3393" w:rsidRDefault="0028518A" w:rsidP="00A32990">
      <w:pPr>
        <w:pStyle w:val="CrossReferenceHeading"/>
        <w:numPr>
          <w:ilvl w:val="0"/>
          <w:numId w:val="8"/>
        </w:numPr>
        <w:spacing w:before="180" w:line="240" w:lineRule="auto"/>
        <w:rPr>
          <w:b w:val="0"/>
          <w:iCs/>
          <w:sz w:val="20"/>
          <w:szCs w:val="20"/>
        </w:rPr>
      </w:pPr>
      <w:r w:rsidRPr="007D3393">
        <w:rPr>
          <w:b w:val="0"/>
          <w:iCs/>
          <w:sz w:val="20"/>
          <w:szCs w:val="20"/>
        </w:rPr>
        <w:t>creating and managing summary records.</w:t>
      </w:r>
    </w:p>
    <w:p w14:paraId="39EFE279" w14:textId="08C41B43" w:rsidR="00904F40" w:rsidRPr="004A09E4" w:rsidRDefault="00437D9B" w:rsidP="00D11A89">
      <w:pPr>
        <w:pStyle w:val="CrossReferenceHeading"/>
      </w:pPr>
      <w:r w:rsidRPr="009E72D0">
        <w:t xml:space="preserve">Cross references to AFDA Express </w:t>
      </w:r>
      <w:r w:rsidR="00120335" w:rsidRPr="009E72D0">
        <w:t>Version 2</w:t>
      </w:r>
    </w:p>
    <w:p w14:paraId="129C2C52" w14:textId="24730F75" w:rsidR="00904F40" w:rsidRPr="00904F40" w:rsidRDefault="00BA6C4D" w:rsidP="00D11A89">
      <w:pPr>
        <w:pStyle w:val="CrossReferenceText"/>
      </w:pPr>
      <w:commentRangeStart w:id="5"/>
      <w:r w:rsidRPr="00904F40">
        <w:rPr>
          <w:bCs/>
          <w:szCs w:val="20"/>
        </w:rPr>
        <w:t>For the agency’s Grant Management strategic policies use S</w:t>
      </w:r>
      <w:r w:rsidR="00E735F8" w:rsidRPr="00904F40">
        <w:rPr>
          <w:bCs/>
          <w:szCs w:val="20"/>
        </w:rPr>
        <w:t>T</w:t>
      </w:r>
      <w:r w:rsidRPr="00904F40">
        <w:rPr>
          <w:bCs/>
          <w:szCs w:val="20"/>
        </w:rPr>
        <w:t>RATEGIC MANAGEMENT – Policy.</w:t>
      </w:r>
      <w:r w:rsidR="00E735F8" w:rsidRPr="00904F40">
        <w:rPr>
          <w:bCs/>
          <w:szCs w:val="20"/>
        </w:rPr>
        <w:t xml:space="preserve"> Class 62602 RNA f</w:t>
      </w:r>
      <w:r w:rsidR="00E735F8" w:rsidRPr="00340E86">
        <w:rPr>
          <w:rFonts w:eastAsia="Times New Roman" w:cs="Times New Roman"/>
          <w:bCs/>
          <w:i w:val="0"/>
          <w:szCs w:val="20"/>
        </w:rPr>
        <w:t xml:space="preserve">inal versions of agency-wide strategic </w:t>
      </w:r>
      <w:r w:rsidR="00E735F8" w:rsidRPr="00D11A89">
        <w:rPr>
          <w:rFonts w:eastAsia="Times New Roman" w:cs="Times New Roman"/>
          <w:bCs/>
          <w:i w:val="0"/>
          <w:szCs w:val="20"/>
        </w:rPr>
        <w:t>management policies</w:t>
      </w:r>
      <w:r w:rsidR="00904F40">
        <w:rPr>
          <w:rFonts w:eastAsia="Times New Roman" w:cs="Times New Roman"/>
          <w:bCs/>
          <w:szCs w:val="20"/>
        </w:rPr>
        <w:t xml:space="preserve">. </w:t>
      </w:r>
      <w:r w:rsidR="00E735F8" w:rsidRPr="00D11A89">
        <w:rPr>
          <w:rFonts w:eastAsia="Times New Roman" w:cs="Times New Roman"/>
          <w:bCs/>
          <w:i w:val="0"/>
          <w:szCs w:val="20"/>
        </w:rPr>
        <w:t>Includes final versions, national policy statements, policy proposals, major drafts, reports, stakeholder consultation, and supporting research</w:t>
      </w:r>
      <w:commentRangeEnd w:id="5"/>
      <w:r w:rsidR="007053D6" w:rsidRPr="00904F40">
        <w:rPr>
          <w:rStyle w:val="CommentReference"/>
          <w:bCs/>
          <w:sz w:val="20"/>
          <w:szCs w:val="20"/>
        </w:rPr>
        <w:commentReference w:id="5"/>
      </w:r>
      <w:r w:rsidR="00904F40">
        <w:t>.</w:t>
      </w:r>
    </w:p>
    <w:p w14:paraId="630114B1" w14:textId="6AB8FEEF" w:rsidR="008F327D" w:rsidRPr="00D11A89" w:rsidRDefault="00BA6C4D" w:rsidP="008F327D">
      <w:pPr>
        <w:pStyle w:val="CrossReferenceHeading"/>
        <w:spacing w:before="180" w:line="240" w:lineRule="auto"/>
        <w:rPr>
          <w:b w:val="0"/>
          <w:bCs/>
          <w:i/>
          <w:sz w:val="20"/>
          <w:szCs w:val="20"/>
        </w:rPr>
      </w:pPr>
      <w:commentRangeStart w:id="6"/>
      <w:r w:rsidRPr="00D11A89">
        <w:rPr>
          <w:b w:val="0"/>
          <w:bCs/>
          <w:i/>
          <w:sz w:val="20"/>
          <w:szCs w:val="20"/>
        </w:rPr>
        <w:t>For the payment of grant money and managing the financial transactions to support the Grant Management business, use FINANCIAL MANAGEMENT.</w:t>
      </w:r>
      <w:r w:rsidR="006150DE" w:rsidRPr="00D11A89">
        <w:rPr>
          <w:b w:val="0"/>
          <w:bCs/>
          <w:i/>
          <w:sz w:val="20"/>
          <w:szCs w:val="20"/>
        </w:rPr>
        <w:t xml:space="preserve"> Class 62386</w:t>
      </w:r>
      <w:r w:rsidR="00340E86">
        <w:rPr>
          <w:b w:val="0"/>
          <w:bCs/>
          <w:i/>
          <w:sz w:val="20"/>
          <w:szCs w:val="20"/>
        </w:rPr>
        <w:t xml:space="preserve"> </w:t>
      </w:r>
      <w:r w:rsidR="006150DE" w:rsidRPr="00D11A89">
        <w:rPr>
          <w:b w:val="0"/>
          <w:bCs/>
          <w:i/>
          <w:sz w:val="20"/>
          <w:szCs w:val="20"/>
        </w:rPr>
        <w:t>D</w:t>
      </w:r>
      <w:r w:rsidR="00B714B6" w:rsidRPr="00D11A89">
        <w:rPr>
          <w:b w:val="0"/>
          <w:bCs/>
          <w:i/>
          <w:sz w:val="20"/>
          <w:szCs w:val="20"/>
        </w:rPr>
        <w:t xml:space="preserve">estroy </w:t>
      </w:r>
      <w:r w:rsidR="006150DE" w:rsidRPr="00D11A89">
        <w:rPr>
          <w:b w:val="0"/>
          <w:bCs/>
          <w:i/>
          <w:sz w:val="20"/>
          <w:szCs w:val="20"/>
        </w:rPr>
        <w:t>7</w:t>
      </w:r>
      <w:r w:rsidR="00B714B6" w:rsidRPr="00D11A89">
        <w:rPr>
          <w:b w:val="0"/>
          <w:bCs/>
          <w:i/>
          <w:sz w:val="20"/>
          <w:szCs w:val="20"/>
        </w:rPr>
        <w:t xml:space="preserve"> years</w:t>
      </w:r>
      <w:r w:rsidR="006150DE" w:rsidRPr="00D11A89">
        <w:rPr>
          <w:b w:val="0"/>
          <w:bCs/>
          <w:i/>
          <w:sz w:val="20"/>
          <w:szCs w:val="20"/>
        </w:rPr>
        <w:t xml:space="preserve"> after action completed</w:t>
      </w:r>
      <w:r w:rsidR="00340E86">
        <w:rPr>
          <w:b w:val="0"/>
          <w:bCs/>
          <w:i/>
          <w:sz w:val="20"/>
          <w:szCs w:val="20"/>
        </w:rPr>
        <w:t xml:space="preserve">. </w:t>
      </w:r>
    </w:p>
    <w:p w14:paraId="0F742443" w14:textId="5618FA2E" w:rsidR="00BA6C4D" w:rsidRPr="00340E86" w:rsidRDefault="00BA6C4D" w:rsidP="00D11A89">
      <w:pPr>
        <w:pStyle w:val="CrossReferenceHeading"/>
        <w:spacing w:before="180" w:line="240" w:lineRule="auto"/>
        <w:rPr>
          <w:bCs/>
          <w:i/>
        </w:rPr>
      </w:pPr>
      <w:r w:rsidRPr="00D11A89">
        <w:rPr>
          <w:b w:val="0"/>
          <w:bCs/>
          <w:i/>
          <w:sz w:val="20"/>
          <w:szCs w:val="20"/>
        </w:rPr>
        <w:t xml:space="preserve">For the procurement of goods and services to support the operations of the Grant Management business use PROCUREMENT. </w:t>
      </w:r>
      <w:r w:rsidR="00B714B6" w:rsidRPr="00D11A89">
        <w:rPr>
          <w:b w:val="0"/>
          <w:bCs/>
          <w:i/>
          <w:sz w:val="20"/>
          <w:szCs w:val="20"/>
        </w:rPr>
        <w:t>Class 62544 Destroy 7 years after action completed</w:t>
      </w:r>
    </w:p>
    <w:p w14:paraId="17EBE7A3" w14:textId="02B710DC" w:rsidR="009C302B" w:rsidRPr="009C302B" w:rsidRDefault="00BA6C4D" w:rsidP="00C61154">
      <w:pPr>
        <w:pStyle w:val="ACTIVITYTEXT"/>
        <w:keepNext/>
        <w:keepLines/>
        <w:spacing w:before="85" w:after="120"/>
        <w:rPr>
          <w:i/>
        </w:rPr>
      </w:pPr>
      <w:bookmarkStart w:id="7" w:name="_Hlk200961152"/>
      <w:r>
        <w:rPr>
          <w:i/>
        </w:rPr>
        <w:t xml:space="preserve">For the agency’s own applications for and receipt of grants use </w:t>
      </w:r>
      <w:r w:rsidR="00C61154">
        <w:rPr>
          <w:i/>
        </w:rPr>
        <w:t>EXTERNAL RELATIONS</w:t>
      </w:r>
      <w:r>
        <w:rPr>
          <w:i/>
        </w:rPr>
        <w:t>.</w:t>
      </w:r>
      <w:r w:rsidR="00E7106B" w:rsidRPr="00E7106B">
        <w:rPr>
          <w:rFonts w:cs="Arial"/>
          <w:color w:val="383B3C"/>
          <w:sz w:val="24"/>
          <w:szCs w:val="24"/>
          <w:lang w:eastAsia="en-AU"/>
        </w:rPr>
        <w:t xml:space="preserve"> </w:t>
      </w:r>
      <w:r w:rsidR="009C302B">
        <w:rPr>
          <w:i/>
        </w:rPr>
        <w:t>Class 62661 D</w:t>
      </w:r>
      <w:r w:rsidR="00B714B6">
        <w:rPr>
          <w:i/>
        </w:rPr>
        <w:t xml:space="preserve">estroy </w:t>
      </w:r>
      <w:r w:rsidR="009C302B">
        <w:rPr>
          <w:i/>
        </w:rPr>
        <w:t>7</w:t>
      </w:r>
      <w:r w:rsidR="00B714B6">
        <w:rPr>
          <w:i/>
        </w:rPr>
        <w:t xml:space="preserve"> years</w:t>
      </w:r>
      <w:r w:rsidR="009C302B">
        <w:rPr>
          <w:i/>
        </w:rPr>
        <w:t xml:space="preserve"> after action completed. </w:t>
      </w:r>
      <w:commentRangeEnd w:id="6"/>
      <w:r w:rsidR="00904F40">
        <w:rPr>
          <w:rStyle w:val="CommentReference"/>
          <w:rFonts w:eastAsiaTheme="minorHAnsi" w:cstheme="minorBidi"/>
        </w:rPr>
        <w:commentReference w:id="6"/>
      </w:r>
    </w:p>
    <w:bookmarkEnd w:id="7"/>
    <w:p w14:paraId="7B29F583" w14:textId="4A2F64E1" w:rsidR="00730D24" w:rsidRPr="00140117" w:rsidRDefault="00730D24" w:rsidP="0077673D">
      <w:pPr>
        <w:pStyle w:val="CrossReferenceText"/>
        <w:spacing w:before="120" w:after="240" w:line="240" w:lineRule="auto"/>
        <w:rPr>
          <w:rStyle w:val="ReplacementText"/>
          <w:b/>
          <w:i w:val="0"/>
          <w:color w:val="auto"/>
        </w:rPr>
      </w:pPr>
    </w:p>
    <w:tbl>
      <w:tblPr>
        <w:tblStyle w:val="TableGrid"/>
        <w:tblpPr w:leftFromText="180" w:rightFromText="180" w:vertAnchor="text" w:tblpY="1"/>
        <w:tblOverlap w:val="never"/>
        <w:tblW w:w="0" w:type="auto"/>
        <w:tblLook w:val="04A0" w:firstRow="1" w:lastRow="0" w:firstColumn="1" w:lastColumn="0" w:noHBand="0" w:noVBand="1"/>
      </w:tblPr>
      <w:tblGrid>
        <w:gridCol w:w="1555"/>
        <w:gridCol w:w="5386"/>
        <w:gridCol w:w="2075"/>
      </w:tblGrid>
      <w:tr w:rsidR="004439F1" w14:paraId="1DB44FAA" w14:textId="77777777" w:rsidTr="005567B0">
        <w:trPr>
          <w:tblHeader/>
        </w:trPr>
        <w:tc>
          <w:tcPr>
            <w:tcW w:w="1555" w:type="dxa"/>
          </w:tcPr>
          <w:p w14:paraId="42CDE21A" w14:textId="77777777" w:rsidR="004439F1" w:rsidRPr="004439F1" w:rsidRDefault="004439F1" w:rsidP="005567B0">
            <w:pPr>
              <w:rPr>
                <w:b/>
              </w:rPr>
            </w:pPr>
            <w:r w:rsidRPr="004439F1">
              <w:rPr>
                <w:b/>
              </w:rPr>
              <w:t>Class no</w:t>
            </w:r>
          </w:p>
        </w:tc>
        <w:tc>
          <w:tcPr>
            <w:tcW w:w="5386" w:type="dxa"/>
          </w:tcPr>
          <w:p w14:paraId="6F67DF20" w14:textId="77777777" w:rsidR="004439F1" w:rsidRPr="004439F1" w:rsidRDefault="004439F1" w:rsidP="005567B0">
            <w:pPr>
              <w:rPr>
                <w:b/>
              </w:rPr>
            </w:pPr>
            <w:r w:rsidRPr="004439F1">
              <w:rPr>
                <w:b/>
              </w:rPr>
              <w:t xml:space="preserve">Description of </w:t>
            </w:r>
            <w:r w:rsidRPr="00153BAD">
              <w:rPr>
                <w:b/>
              </w:rPr>
              <w:t>records</w:t>
            </w:r>
          </w:p>
        </w:tc>
        <w:tc>
          <w:tcPr>
            <w:tcW w:w="2075" w:type="dxa"/>
          </w:tcPr>
          <w:p w14:paraId="7EE7CD1A" w14:textId="77777777" w:rsidR="004439F1" w:rsidRPr="004439F1" w:rsidRDefault="004439F1" w:rsidP="005567B0">
            <w:pPr>
              <w:rPr>
                <w:b/>
              </w:rPr>
            </w:pPr>
            <w:r w:rsidRPr="004439F1">
              <w:rPr>
                <w:b/>
              </w:rPr>
              <w:t>Disposal action</w:t>
            </w:r>
          </w:p>
        </w:tc>
      </w:tr>
      <w:tr w:rsidR="00FF47BB" w14:paraId="4F0874C5" w14:textId="77777777" w:rsidTr="005567B0">
        <w:tc>
          <w:tcPr>
            <w:tcW w:w="1555" w:type="dxa"/>
          </w:tcPr>
          <w:p w14:paraId="2960F1EB" w14:textId="0F6A6EEE" w:rsidR="00FF47BB" w:rsidRPr="003506CE" w:rsidRDefault="0048771D" w:rsidP="005567B0">
            <w:pPr>
              <w:rPr>
                <w:rStyle w:val="ReplacementText"/>
              </w:rPr>
            </w:pPr>
            <w:r>
              <w:rPr>
                <w:rStyle w:val="ReplacementText"/>
              </w:rPr>
              <w:t>RNA (1)</w:t>
            </w:r>
          </w:p>
        </w:tc>
        <w:tc>
          <w:tcPr>
            <w:tcW w:w="5386" w:type="dxa"/>
          </w:tcPr>
          <w:p w14:paraId="58E42231" w14:textId="77777777" w:rsidR="008F327D" w:rsidRDefault="00FF47BB" w:rsidP="005567B0">
            <w:r>
              <w:t>Records documenting</w:t>
            </w:r>
          </w:p>
          <w:p w14:paraId="072D90F4" w14:textId="76A56264" w:rsidR="00FF47BB" w:rsidRDefault="00455C50" w:rsidP="00A32990">
            <w:pPr>
              <w:pStyle w:val="ACTIVITYTEXT"/>
              <w:numPr>
                <w:ilvl w:val="0"/>
                <w:numId w:val="6"/>
              </w:numPr>
              <w:spacing w:after="80"/>
            </w:pPr>
            <w:r>
              <w:t>d</w:t>
            </w:r>
            <w:r w:rsidR="00272FF5" w:rsidRPr="00A26C15">
              <w:t>esigning and developing grant program</w:t>
            </w:r>
            <w:r w:rsidR="00272FF5">
              <w:t>s</w:t>
            </w:r>
            <w:r w:rsidR="00272FF5" w:rsidRPr="00A26C15">
              <w:t xml:space="preserve"> and project</w:t>
            </w:r>
            <w:r w:rsidR="00272FF5">
              <w:t>s:</w:t>
            </w:r>
            <w:r w:rsidR="00272FF5" w:rsidRPr="00A26C15">
              <w:t xml:space="preserve"> </w:t>
            </w:r>
            <w:r w:rsidR="00272FF5">
              <w:t xml:space="preserve">final versions of </w:t>
            </w:r>
            <w:r w:rsidR="00272FF5" w:rsidRPr="00272FF5">
              <w:rPr>
                <w:u w:val="single"/>
              </w:rPr>
              <w:t>planning,</w:t>
            </w:r>
            <w:r w:rsidR="00272FF5">
              <w:t xml:space="preserve"> </w:t>
            </w:r>
            <w:r w:rsidR="00272FF5" w:rsidRPr="00272FF5">
              <w:rPr>
                <w:u w:val="single"/>
              </w:rPr>
              <w:t>policies</w:t>
            </w:r>
            <w:r w:rsidR="00272FF5">
              <w:t xml:space="preserve">, </w:t>
            </w:r>
            <w:r w:rsidR="00272FF5" w:rsidRPr="00272FF5">
              <w:rPr>
                <w:u w:val="single"/>
              </w:rPr>
              <w:t>assessment criteria</w:t>
            </w:r>
            <w:r w:rsidR="00272FF5">
              <w:t xml:space="preserve">, </w:t>
            </w:r>
            <w:r w:rsidR="00272FF5" w:rsidRPr="00272FF5">
              <w:rPr>
                <w:u w:val="single"/>
              </w:rPr>
              <w:t>reports</w:t>
            </w:r>
            <w:r w:rsidR="00272FF5">
              <w:t xml:space="preserve">, </w:t>
            </w:r>
            <w:r w:rsidR="00272FF5" w:rsidRPr="00272FF5">
              <w:rPr>
                <w:u w:val="single"/>
              </w:rPr>
              <w:t>audits</w:t>
            </w:r>
            <w:r w:rsidR="00272FF5">
              <w:t xml:space="preserve">, </w:t>
            </w:r>
            <w:r w:rsidR="00272FF5" w:rsidRPr="00272FF5">
              <w:rPr>
                <w:u w:val="single"/>
              </w:rPr>
              <w:t>evaluations,</w:t>
            </w:r>
            <w:r w:rsidR="00272FF5">
              <w:t xml:space="preserve"> and </w:t>
            </w:r>
            <w:r w:rsidR="00272FF5" w:rsidRPr="00272FF5">
              <w:rPr>
                <w:u w:val="single"/>
              </w:rPr>
              <w:t>reviews</w:t>
            </w:r>
            <w:r w:rsidR="00272FF5">
              <w:t xml:space="preserve"> and their major supporting documents including results of consultations;</w:t>
            </w:r>
          </w:p>
          <w:p w14:paraId="7F585DB1" w14:textId="512FD2D0" w:rsidR="00AB3899" w:rsidRDefault="00AB3899" w:rsidP="00A32990">
            <w:pPr>
              <w:pStyle w:val="ACTIVITYTEXT"/>
              <w:numPr>
                <w:ilvl w:val="0"/>
                <w:numId w:val="6"/>
              </w:numPr>
              <w:spacing w:after="80"/>
            </w:pPr>
            <w:r>
              <w:t xml:space="preserve">summary </w:t>
            </w:r>
            <w:r w:rsidR="004D54C0" w:rsidRPr="00BD29E9">
              <w:t xml:space="preserve">datasets </w:t>
            </w:r>
            <w:r w:rsidR="008C2749" w:rsidRPr="00BD29E9">
              <w:t xml:space="preserve">or registers </w:t>
            </w:r>
            <w:r w:rsidRPr="00BD29E9">
              <w:t>of grant programs</w:t>
            </w:r>
            <w:r w:rsidR="004D54C0" w:rsidRPr="00BD29E9">
              <w:t xml:space="preserve"> from Whole of Government and multiple agencies grant management platforms and hubs</w:t>
            </w:r>
            <w:r w:rsidR="004D54C0">
              <w:t>.</w:t>
            </w:r>
            <w:r>
              <w:t xml:space="preserve"> Includes expected grant opportunities,</w:t>
            </w:r>
            <w:r w:rsidR="00A003E0">
              <w:t xml:space="preserve"> actual</w:t>
            </w:r>
            <w:r>
              <w:t xml:space="preserve"> grant opportunities and grant outcomes</w:t>
            </w:r>
            <w:r w:rsidR="00E854C3">
              <w:t>;</w:t>
            </w:r>
            <w:r w:rsidR="00D575BE">
              <w:t xml:space="preserve"> and</w:t>
            </w:r>
          </w:p>
          <w:p w14:paraId="6646DE10" w14:textId="77777777" w:rsidR="00CD40A7" w:rsidRDefault="004D54C0" w:rsidP="00A32990">
            <w:pPr>
              <w:pStyle w:val="ACTIVITYTEXT"/>
              <w:numPr>
                <w:ilvl w:val="0"/>
                <w:numId w:val="6"/>
              </w:numPr>
              <w:spacing w:after="80"/>
            </w:pPr>
            <w:r>
              <w:t xml:space="preserve">detailed datasets or </w:t>
            </w:r>
            <w:r w:rsidRPr="00325FF4">
              <w:t xml:space="preserve">case files </w:t>
            </w:r>
            <w:r w:rsidR="00CD40A7">
              <w:t>(and where applicable, the grant outcome e.g. a film, report, research paper), of the following types of grant programs:</w:t>
            </w:r>
          </w:p>
          <w:p w14:paraId="3EECA29D" w14:textId="14B05824" w:rsidR="00A6134D" w:rsidRDefault="00A6134D" w:rsidP="00A32990">
            <w:pPr>
              <w:pStyle w:val="ACTIVITYTEXT"/>
              <w:numPr>
                <w:ilvl w:val="1"/>
                <w:numId w:val="6"/>
              </w:numPr>
            </w:pPr>
            <w:r w:rsidRPr="00E16EED">
              <w:t xml:space="preserve">grant programs that support the core business of an agency; </w:t>
            </w:r>
            <w:r w:rsidRPr="00325FF4">
              <w:t xml:space="preserve"> </w:t>
            </w:r>
          </w:p>
          <w:p w14:paraId="46202AD9" w14:textId="3A72C777" w:rsidR="004D54C0" w:rsidRPr="00650F75" w:rsidRDefault="00D575BE" w:rsidP="00A32990">
            <w:pPr>
              <w:pStyle w:val="ACTIVITYTEXT"/>
              <w:numPr>
                <w:ilvl w:val="1"/>
                <w:numId w:val="6"/>
              </w:numPr>
              <w:spacing w:after="80"/>
            </w:pPr>
            <w:r>
              <w:t>I</w:t>
            </w:r>
            <w:r w:rsidR="004D54C0" w:rsidRPr="00325FF4">
              <w:t>ndigenous grant</w:t>
            </w:r>
            <w:r w:rsidR="004D54C0">
              <w:t xml:space="preserve"> programs</w:t>
            </w:r>
            <w:r w:rsidR="004D54C0" w:rsidRPr="00650F75">
              <w:t>;</w:t>
            </w:r>
          </w:p>
          <w:p w14:paraId="0BFE34D8" w14:textId="5512FDBE" w:rsidR="004D54C0" w:rsidRDefault="004D54C0" w:rsidP="00A32990">
            <w:pPr>
              <w:pStyle w:val="ACTIVITYTEXT"/>
              <w:numPr>
                <w:ilvl w:val="1"/>
                <w:numId w:val="6"/>
              </w:numPr>
              <w:spacing w:after="80"/>
            </w:pPr>
            <w:r w:rsidRPr="00982925">
              <w:t xml:space="preserve">academic </w:t>
            </w:r>
            <w:r>
              <w:t>research grant programs</w:t>
            </w:r>
            <w:r w:rsidR="00CD40A7">
              <w:t>;</w:t>
            </w:r>
          </w:p>
          <w:p w14:paraId="2A506CD7" w14:textId="77777777" w:rsidR="00455D20" w:rsidRDefault="004D54C0" w:rsidP="00A32990">
            <w:pPr>
              <w:pStyle w:val="ACTIVITYTEXT"/>
              <w:numPr>
                <w:ilvl w:val="1"/>
                <w:numId w:val="6"/>
              </w:numPr>
              <w:spacing w:after="80"/>
            </w:pPr>
            <w:r w:rsidRPr="00982925">
              <w:t>medical research grant</w:t>
            </w:r>
            <w:r>
              <w:t xml:space="preserve"> programs</w:t>
            </w:r>
            <w:r w:rsidRPr="00982925">
              <w:t>;</w:t>
            </w:r>
          </w:p>
          <w:p w14:paraId="60CD3221" w14:textId="77777777" w:rsidR="00455D20" w:rsidRDefault="004D54C0" w:rsidP="00A32990">
            <w:pPr>
              <w:pStyle w:val="ACTIVITYTEXT"/>
              <w:numPr>
                <w:ilvl w:val="1"/>
                <w:numId w:val="6"/>
              </w:numPr>
              <w:spacing w:after="80"/>
            </w:pPr>
            <w:r w:rsidRPr="00982925">
              <w:t>environment</w:t>
            </w:r>
            <w:r>
              <w:t>al grant programs</w:t>
            </w:r>
            <w:r w:rsidR="00CD40A7">
              <w:t>;</w:t>
            </w:r>
            <w:r w:rsidR="005C16F0">
              <w:t xml:space="preserve"> </w:t>
            </w:r>
          </w:p>
          <w:p w14:paraId="29DC8099" w14:textId="1F2C89DA" w:rsidR="00455D20" w:rsidRDefault="002665BD" w:rsidP="00A32990">
            <w:pPr>
              <w:pStyle w:val="ACTIVITYTEXT"/>
              <w:numPr>
                <w:ilvl w:val="1"/>
                <w:numId w:val="6"/>
              </w:numPr>
              <w:spacing w:after="80"/>
            </w:pPr>
            <w:r>
              <w:t xml:space="preserve">grant programs with </w:t>
            </w:r>
            <w:r w:rsidR="00CD40A7">
              <w:t>economic</w:t>
            </w:r>
            <w:r>
              <w:t xml:space="preserve"> </w:t>
            </w:r>
            <w:r w:rsidR="00B73A98">
              <w:t>impact</w:t>
            </w:r>
            <w:r w:rsidR="00BE2885">
              <w:t>;</w:t>
            </w:r>
          </w:p>
          <w:p w14:paraId="79A52A53" w14:textId="25489A67" w:rsidR="00455D20" w:rsidRDefault="002665BD" w:rsidP="00A32990">
            <w:pPr>
              <w:pStyle w:val="ACTIVITYTEXT"/>
              <w:numPr>
                <w:ilvl w:val="1"/>
                <w:numId w:val="6"/>
              </w:numPr>
              <w:spacing w:after="80"/>
            </w:pPr>
            <w:r>
              <w:t xml:space="preserve">grant programs with </w:t>
            </w:r>
            <w:r w:rsidR="00CD40A7">
              <w:t>social impact</w:t>
            </w:r>
            <w:r w:rsidR="00BE2885">
              <w:t>; and</w:t>
            </w:r>
          </w:p>
          <w:p w14:paraId="0D633741" w14:textId="6C50F193" w:rsidR="00B73A98" w:rsidRDefault="002665BD" w:rsidP="00A32990">
            <w:pPr>
              <w:pStyle w:val="ACTIVITYTEXT"/>
              <w:numPr>
                <w:ilvl w:val="1"/>
                <w:numId w:val="6"/>
              </w:numPr>
              <w:spacing w:after="80"/>
            </w:pPr>
            <w:r>
              <w:t xml:space="preserve">grant programs with </w:t>
            </w:r>
            <w:r w:rsidR="00CD40A7" w:rsidRPr="00AD263A">
              <w:t xml:space="preserve">cultural </w:t>
            </w:r>
            <w:r w:rsidR="00EC230A">
              <w:t xml:space="preserve">and community </w:t>
            </w:r>
            <w:r w:rsidR="00B73A98">
              <w:t>importance</w:t>
            </w:r>
            <w:r w:rsidR="00BE2885">
              <w:t>.</w:t>
            </w:r>
          </w:p>
          <w:p w14:paraId="07D68463" w14:textId="56A8CE10" w:rsidR="00455D20" w:rsidRDefault="00455D20" w:rsidP="00AB7787">
            <w:pPr>
              <w:pStyle w:val="ACTIVITYTEXT"/>
              <w:spacing w:after="80"/>
            </w:pPr>
          </w:p>
          <w:p w14:paraId="04467B77" w14:textId="4EEA2692" w:rsidR="00AB7787" w:rsidRDefault="00455D20" w:rsidP="00AB7787">
            <w:pPr>
              <w:pStyle w:val="ACTIVITYTEXT"/>
              <w:spacing w:after="80"/>
            </w:pPr>
            <w:r>
              <w:t>These records include:</w:t>
            </w:r>
          </w:p>
          <w:p w14:paraId="0B2D7942" w14:textId="24F62098" w:rsidR="00650F75" w:rsidRPr="00650F75" w:rsidRDefault="00AB7787" w:rsidP="00A32990">
            <w:pPr>
              <w:pStyle w:val="ACTIVITYTEXT"/>
              <w:numPr>
                <w:ilvl w:val="1"/>
                <w:numId w:val="6"/>
              </w:numPr>
              <w:spacing w:after="80"/>
            </w:pPr>
            <w:r w:rsidRPr="00440580">
              <w:rPr>
                <w:u w:val="single"/>
              </w:rPr>
              <w:t>summary records</w:t>
            </w:r>
            <w:r>
              <w:t xml:space="preserve"> of successful and unsuccessful grant applications</w:t>
            </w:r>
            <w:r w:rsidR="00123680">
              <w:t xml:space="preserve">. </w:t>
            </w:r>
          </w:p>
          <w:p w14:paraId="21CC7E69" w14:textId="77777777" w:rsidR="00BE2885" w:rsidRDefault="00AB7787" w:rsidP="00A32990">
            <w:pPr>
              <w:pStyle w:val="ACTIVITYTEXT"/>
              <w:numPr>
                <w:ilvl w:val="1"/>
                <w:numId w:val="6"/>
              </w:numPr>
              <w:spacing w:after="80"/>
            </w:pPr>
            <w:r w:rsidRPr="00D25FDE">
              <w:t xml:space="preserve">final version of </w:t>
            </w:r>
            <w:r w:rsidRPr="00311945">
              <w:rPr>
                <w:u w:val="single"/>
              </w:rPr>
              <w:t>promotional</w:t>
            </w:r>
            <w:r w:rsidRPr="00311945">
              <w:t xml:space="preserve"> </w:t>
            </w:r>
            <w:r w:rsidRPr="00D25FDE">
              <w:t>material</w:t>
            </w:r>
            <w:r w:rsidR="00D6761F">
              <w:t>; and</w:t>
            </w:r>
          </w:p>
          <w:p w14:paraId="33DDCB89" w14:textId="77777777" w:rsidR="00BE2885" w:rsidRDefault="00AB7787" w:rsidP="00A32990">
            <w:pPr>
              <w:pStyle w:val="ACTIVITYTEXT"/>
              <w:numPr>
                <w:ilvl w:val="1"/>
                <w:numId w:val="6"/>
              </w:numPr>
              <w:spacing w:after="80"/>
            </w:pPr>
            <w:r w:rsidRPr="007730AD">
              <w:t>agreements, including signed agreements under seal, grant agreements and memoranda of understanding.</w:t>
            </w:r>
          </w:p>
          <w:p w14:paraId="2FC3E11A" w14:textId="66A7733A" w:rsidR="00FF47BB" w:rsidRDefault="004B3B32" w:rsidP="00BE2885">
            <w:pPr>
              <w:pStyle w:val="ACTIVITYTEXT"/>
              <w:spacing w:after="80"/>
              <w:rPr>
                <w:i/>
                <w:iCs/>
              </w:rPr>
            </w:pPr>
            <w:r w:rsidRPr="00BE2885">
              <w:rPr>
                <w:i/>
                <w:iCs/>
              </w:rPr>
              <w:t>[</w:t>
            </w:r>
            <w:r w:rsidR="00CD51A8" w:rsidRPr="00BE2885">
              <w:rPr>
                <w:i/>
                <w:iCs/>
              </w:rPr>
              <w:t xml:space="preserve">For developing and executing contracts under seal or deeds, including signed joint venture contracts under seal, </w:t>
            </w:r>
            <w:r w:rsidR="002665BD" w:rsidRPr="00C61154">
              <w:rPr>
                <w:i/>
                <w:iCs/>
              </w:rPr>
              <w:t xml:space="preserve">where these are not retained as national archives as part of the case file, </w:t>
            </w:r>
            <w:r w:rsidR="00B714B6" w:rsidRPr="00C61154">
              <w:rPr>
                <w:i/>
                <w:iCs/>
              </w:rPr>
              <w:t xml:space="preserve">under class 1 </w:t>
            </w:r>
            <w:r w:rsidR="00CD51A8" w:rsidRPr="00C61154">
              <w:rPr>
                <w:i/>
                <w:iCs/>
              </w:rPr>
              <w:t xml:space="preserve">use </w:t>
            </w:r>
            <w:r w:rsidR="00CD51A8" w:rsidRPr="00BE2885">
              <w:rPr>
                <w:i/>
                <w:iCs/>
              </w:rPr>
              <w:t>CONTRACTS UNDER SEAL/DEEDS</w:t>
            </w:r>
            <w:r w:rsidRPr="00BE2885">
              <w:rPr>
                <w:i/>
                <w:iCs/>
              </w:rPr>
              <w:t>]</w:t>
            </w:r>
            <w:r w:rsidR="00CD51A8" w:rsidRPr="00BE2885">
              <w:rPr>
                <w:i/>
                <w:iCs/>
              </w:rPr>
              <w:t>.</w:t>
            </w:r>
          </w:p>
          <w:p w14:paraId="150ACCD6" w14:textId="6189C29A" w:rsidR="00E735F8" w:rsidRDefault="00E735F8" w:rsidP="00E735F8">
            <w:pPr>
              <w:pStyle w:val="CrossReferenceHeading"/>
              <w:spacing w:before="180"/>
            </w:pPr>
            <w:r>
              <w:rPr>
                <w:iCs/>
              </w:rPr>
              <w:t xml:space="preserve">Note: </w:t>
            </w:r>
            <w:r w:rsidRPr="009E72D0">
              <w:rPr>
                <w:i/>
              </w:rPr>
              <w:t xml:space="preserve"> </w:t>
            </w:r>
          </w:p>
          <w:p w14:paraId="1CD834C5" w14:textId="67AF3C08" w:rsidR="00E735F8" w:rsidRPr="00BE2885" w:rsidRDefault="00E735F8" w:rsidP="00E958CD">
            <w:pPr>
              <w:pStyle w:val="ACTIVITYTEXT"/>
              <w:keepNext/>
              <w:keepLines/>
              <w:spacing w:before="85" w:after="120"/>
            </w:pPr>
            <w:r w:rsidRPr="00E735F8">
              <w:rPr>
                <w:i/>
              </w:rPr>
              <w:t>For the agency’s Grant Management strategic policies use STRATEGIC MANAGEMENT</w:t>
            </w:r>
            <w:r>
              <w:rPr>
                <w:i/>
              </w:rPr>
              <w:t>.</w:t>
            </w:r>
            <w:r w:rsidRPr="00E735F8">
              <w:rPr>
                <w:i/>
              </w:rPr>
              <w:t xml:space="preserve"> Class 62602 RNA; developing and establishing agency-wide strategic management policies. Includes final versions, national policy statements, policy proposals, major drafts, reports, stakeholder consultation, and supporting research</w:t>
            </w:r>
          </w:p>
        </w:tc>
        <w:tc>
          <w:tcPr>
            <w:tcW w:w="2075" w:type="dxa"/>
          </w:tcPr>
          <w:p w14:paraId="2D6D23F0" w14:textId="77777777" w:rsidR="00FF47BB" w:rsidRDefault="00FF47BB" w:rsidP="005567B0">
            <w:r w:rsidRPr="003A6380">
              <w:rPr>
                <w:rStyle w:val="ReplacementText"/>
                <w:color w:val="auto"/>
              </w:rPr>
              <w:t>Retain as national archives</w:t>
            </w:r>
          </w:p>
        </w:tc>
      </w:tr>
      <w:tr w:rsidR="00F21259" w14:paraId="4684C25C" w14:textId="77777777" w:rsidTr="005567B0">
        <w:tc>
          <w:tcPr>
            <w:tcW w:w="1555" w:type="dxa"/>
          </w:tcPr>
          <w:p w14:paraId="013EED8F" w14:textId="2758EEE1" w:rsidR="00F21259" w:rsidRDefault="00F21259" w:rsidP="005567B0">
            <w:pPr>
              <w:rPr>
                <w:rStyle w:val="ReplacementText"/>
              </w:rPr>
            </w:pPr>
            <w:r>
              <w:rPr>
                <w:rStyle w:val="ReplacementText"/>
              </w:rPr>
              <w:t>For reference</w:t>
            </w:r>
          </w:p>
        </w:tc>
        <w:tc>
          <w:tcPr>
            <w:tcW w:w="5386" w:type="dxa"/>
          </w:tcPr>
          <w:p w14:paraId="662C3EEB" w14:textId="07101BA5" w:rsidR="00F21259" w:rsidRPr="004132CA" w:rsidRDefault="005F2586">
            <w:pPr>
              <w:pStyle w:val="ACTIVITYTEXT"/>
              <w:spacing w:after="80"/>
              <w:pPrChange w:id="8" w:author="Christine Johnston" w:date="2025-06-16T09:44:00Z" w16du:dateUtc="2025-06-15T23:44:00Z">
                <w:pPr>
                  <w:framePr w:hSpace="180" w:wrap="around" w:vAnchor="text" w:hAnchor="text" w:y="1"/>
                  <w:suppressOverlap/>
                </w:pPr>
              </w:pPrChange>
            </w:pPr>
            <w:r w:rsidRPr="00DF7145">
              <w:rPr>
                <w:i/>
                <w:iCs/>
              </w:rPr>
              <w:t xml:space="preserve">[For developing and executing contracts under seal or deeds, including signed joint venture contracts under seal, </w:t>
            </w:r>
            <w:r w:rsidRPr="00EA6BC0">
              <w:rPr>
                <w:i/>
                <w:iCs/>
              </w:rPr>
              <w:t xml:space="preserve">where the case files are not retained as national archives, </w:t>
            </w:r>
            <w:r w:rsidRPr="00DF7145">
              <w:rPr>
                <w:i/>
                <w:iCs/>
              </w:rPr>
              <w:t>use CONTRACTS UNDER SEAL/DEEDS]</w:t>
            </w:r>
          </w:p>
        </w:tc>
        <w:tc>
          <w:tcPr>
            <w:tcW w:w="2075" w:type="dxa"/>
          </w:tcPr>
          <w:p w14:paraId="7A94B971" w14:textId="75471CF4" w:rsidR="005F2586" w:rsidRPr="00B714B6" w:rsidRDefault="005F2586" w:rsidP="005F2586">
            <w:pPr>
              <w:pStyle w:val="ACTIVITYTEXT"/>
              <w:spacing w:after="80"/>
              <w:rPr>
                <w:i/>
                <w:iCs/>
              </w:rPr>
            </w:pPr>
            <w:r>
              <w:rPr>
                <w:i/>
                <w:iCs/>
              </w:rPr>
              <w:t xml:space="preserve">Longest retention period is - </w:t>
            </w:r>
            <w:r w:rsidRPr="00B714B6">
              <w:rPr>
                <w:i/>
                <w:iCs/>
              </w:rPr>
              <w:t>Destroy 21 years after discharge or expiration of all obligations under the contract/deed</w:t>
            </w:r>
            <w:commentRangeStart w:id="9"/>
            <w:commentRangeEnd w:id="9"/>
            <w:r>
              <w:rPr>
                <w:rStyle w:val="CommentReference"/>
                <w:rFonts w:eastAsiaTheme="minorHAnsi" w:cstheme="minorBidi"/>
              </w:rPr>
              <w:commentReference w:id="9"/>
            </w:r>
            <w:r>
              <w:rPr>
                <w:i/>
                <w:iCs/>
              </w:rPr>
              <w:t xml:space="preserve"> – </w:t>
            </w:r>
            <w:commentRangeStart w:id="10"/>
            <w:r>
              <w:rPr>
                <w:i/>
                <w:iCs/>
              </w:rPr>
              <w:t xml:space="preserve">(Class </w:t>
            </w:r>
            <w:r w:rsidRPr="00B714B6">
              <w:rPr>
                <w:i/>
                <w:iCs/>
              </w:rPr>
              <w:t>62547</w:t>
            </w:r>
            <w:r>
              <w:rPr>
                <w:i/>
                <w:iCs/>
              </w:rPr>
              <w:t>)</w:t>
            </w:r>
            <w:commentRangeEnd w:id="10"/>
            <w:r>
              <w:rPr>
                <w:rStyle w:val="CommentReference"/>
                <w:rFonts w:eastAsiaTheme="minorHAnsi" w:cstheme="minorBidi"/>
              </w:rPr>
              <w:commentReference w:id="10"/>
            </w:r>
            <w:r w:rsidR="009F6B8A">
              <w:rPr>
                <w:i/>
                <w:iCs/>
              </w:rPr>
              <w:t xml:space="preserve"> – Agencies may also </w:t>
            </w:r>
            <w:r w:rsidR="00E958CD">
              <w:rPr>
                <w:i/>
                <w:iCs/>
              </w:rPr>
              <w:t xml:space="preserve">apply </w:t>
            </w:r>
            <w:r w:rsidR="009F6B8A">
              <w:rPr>
                <w:i/>
                <w:iCs/>
              </w:rPr>
              <w:t xml:space="preserve">the </w:t>
            </w:r>
            <w:r w:rsidR="00E958CD">
              <w:rPr>
                <w:i/>
                <w:iCs/>
              </w:rPr>
              <w:t xml:space="preserve">specific usually </w:t>
            </w:r>
            <w:r w:rsidR="009F6B8A">
              <w:rPr>
                <w:i/>
                <w:iCs/>
              </w:rPr>
              <w:t>(shorter) retention periods in classes 62547, 62548 and 62549</w:t>
            </w:r>
          </w:p>
          <w:p w14:paraId="4A76B183" w14:textId="77777777" w:rsidR="00F21259" w:rsidRPr="004132CA" w:rsidRDefault="00F21259" w:rsidP="005567B0">
            <w:pPr>
              <w:rPr>
                <w:rStyle w:val="ReplacementText"/>
                <w:color w:val="auto"/>
              </w:rPr>
            </w:pPr>
          </w:p>
        </w:tc>
      </w:tr>
      <w:tr w:rsidR="009303C3" w14:paraId="2B7B095C" w14:textId="77777777" w:rsidTr="005567B0">
        <w:tc>
          <w:tcPr>
            <w:tcW w:w="1555" w:type="dxa"/>
          </w:tcPr>
          <w:p w14:paraId="5B9013C0" w14:textId="72134D04" w:rsidR="009303C3" w:rsidRDefault="009303C3" w:rsidP="005567B0">
            <w:pPr>
              <w:rPr>
                <w:rStyle w:val="ReplacementText"/>
              </w:rPr>
            </w:pPr>
            <w:r>
              <w:rPr>
                <w:rStyle w:val="ReplacementText"/>
              </w:rPr>
              <w:t>x</w:t>
            </w:r>
            <w:r w:rsidRPr="003506CE">
              <w:rPr>
                <w:rStyle w:val="ReplacementText"/>
              </w:rPr>
              <w:t>xxx</w:t>
            </w:r>
            <w:r>
              <w:rPr>
                <w:rStyle w:val="ReplacementText"/>
              </w:rPr>
              <w:t>2</w:t>
            </w:r>
          </w:p>
        </w:tc>
        <w:tc>
          <w:tcPr>
            <w:tcW w:w="5386" w:type="dxa"/>
          </w:tcPr>
          <w:p w14:paraId="7DD2E168" w14:textId="77777777" w:rsidR="009303C3" w:rsidRPr="004132CA" w:rsidRDefault="009303C3" w:rsidP="009303C3">
            <w:r w:rsidRPr="004132CA">
              <w:t>Records documenting:</w:t>
            </w:r>
          </w:p>
          <w:p w14:paraId="41528CCF" w14:textId="6FC5D2CB" w:rsidR="009303C3" w:rsidRPr="004132CA" w:rsidRDefault="00D575BE" w:rsidP="00A32990">
            <w:pPr>
              <w:pStyle w:val="ListParagraph"/>
              <w:numPr>
                <w:ilvl w:val="0"/>
                <w:numId w:val="7"/>
              </w:numPr>
              <w:spacing w:after="120" w:line="240" w:lineRule="auto"/>
            </w:pPr>
            <w:r>
              <w:t>g</w:t>
            </w:r>
            <w:r w:rsidR="009303C3" w:rsidRPr="004132CA">
              <w:t xml:space="preserve">rant management services provided </w:t>
            </w:r>
            <w:r w:rsidR="009303C3" w:rsidRPr="004132CA">
              <w:rPr>
                <w:lang w:val="en-GB"/>
              </w:rPr>
              <w:t xml:space="preserve">on behalf of Australian Government client agencies, under Memoranda of Understanding (MOUs). Services include developing and administering grants in </w:t>
            </w:r>
            <w:r w:rsidR="009303C3" w:rsidRPr="00AD580E">
              <w:rPr>
                <w:lang w:val="en-GB"/>
              </w:rPr>
              <w:t xml:space="preserve">line with </w:t>
            </w:r>
            <w:r w:rsidR="002665BD" w:rsidRPr="00EA6BC0">
              <w:rPr>
                <w:lang w:val="en-GB"/>
              </w:rPr>
              <w:t xml:space="preserve">whole of Government requirements, for example </w:t>
            </w:r>
            <w:r w:rsidR="009303C3" w:rsidRPr="00AD580E">
              <w:rPr>
                <w:lang w:val="en-GB"/>
              </w:rPr>
              <w:t xml:space="preserve">the </w:t>
            </w:r>
            <w:r w:rsidR="009303C3" w:rsidRPr="004132CA">
              <w:rPr>
                <w:lang w:val="en-GB"/>
              </w:rPr>
              <w:t>Commonwealth Grants Rules and Guidelines</w:t>
            </w:r>
            <w:r w:rsidR="002665BD">
              <w:rPr>
                <w:lang w:val="en-GB"/>
              </w:rPr>
              <w:t>.</w:t>
            </w:r>
          </w:p>
        </w:tc>
        <w:tc>
          <w:tcPr>
            <w:tcW w:w="2075" w:type="dxa"/>
          </w:tcPr>
          <w:p w14:paraId="16F0B5CC" w14:textId="7EB62744" w:rsidR="009303C3" w:rsidRPr="004132CA" w:rsidRDefault="009303C3" w:rsidP="005567B0">
            <w:pPr>
              <w:rPr>
                <w:rStyle w:val="ReplacementText"/>
                <w:color w:val="auto"/>
              </w:rPr>
            </w:pPr>
            <w:r w:rsidRPr="004132CA">
              <w:rPr>
                <w:rStyle w:val="ReplacementText"/>
                <w:color w:val="auto"/>
              </w:rPr>
              <w:t>Destroy 10 years after action completed</w:t>
            </w:r>
          </w:p>
        </w:tc>
      </w:tr>
      <w:tr w:rsidR="004439F1" w14:paraId="6BD3F8F4" w14:textId="77777777" w:rsidTr="005567B0">
        <w:tc>
          <w:tcPr>
            <w:tcW w:w="1555" w:type="dxa"/>
          </w:tcPr>
          <w:p w14:paraId="12748774" w14:textId="0D695191" w:rsidR="004439F1" w:rsidRPr="003506CE" w:rsidRDefault="009303C3" w:rsidP="005567B0">
            <w:pPr>
              <w:rPr>
                <w:rStyle w:val="ReplacementText"/>
              </w:rPr>
            </w:pPr>
            <w:r>
              <w:rPr>
                <w:rStyle w:val="ReplacementText"/>
              </w:rPr>
              <w:t>X</w:t>
            </w:r>
            <w:r w:rsidR="004439F1" w:rsidRPr="003506CE">
              <w:rPr>
                <w:rStyle w:val="ReplacementText"/>
              </w:rPr>
              <w:t>xxx</w:t>
            </w:r>
            <w:r>
              <w:rPr>
                <w:rStyle w:val="ReplacementText"/>
              </w:rPr>
              <w:t>3</w:t>
            </w:r>
          </w:p>
        </w:tc>
        <w:tc>
          <w:tcPr>
            <w:tcW w:w="5386" w:type="dxa"/>
          </w:tcPr>
          <w:p w14:paraId="1B7D3779" w14:textId="77777777" w:rsidR="004439F1" w:rsidRDefault="004439F1" w:rsidP="005567B0">
            <w:r>
              <w:t>Records documenting:</w:t>
            </w:r>
          </w:p>
          <w:p w14:paraId="28AACC3D" w14:textId="440A45CE" w:rsidR="004439F1" w:rsidRPr="002F1492" w:rsidRDefault="00AB7787" w:rsidP="00A32990">
            <w:pPr>
              <w:numPr>
                <w:ilvl w:val="0"/>
                <w:numId w:val="2"/>
              </w:numPr>
              <w:ind w:left="357" w:hanging="357"/>
              <w:rPr>
                <w:color w:val="ED7D31" w:themeColor="accent2"/>
              </w:rPr>
            </w:pPr>
            <w:r>
              <w:t>case files</w:t>
            </w:r>
            <w:r w:rsidR="0063247E">
              <w:t xml:space="preserve"> and records relating to</w:t>
            </w:r>
            <w:r>
              <w:t xml:space="preserve"> unsuccessful grant applicants not covered in class 1</w:t>
            </w:r>
            <w:r w:rsidR="0077218A">
              <w:t>.</w:t>
            </w:r>
          </w:p>
        </w:tc>
        <w:tc>
          <w:tcPr>
            <w:tcW w:w="2075" w:type="dxa"/>
          </w:tcPr>
          <w:p w14:paraId="3B69FB21" w14:textId="3F1E9386" w:rsidR="004439F1" w:rsidRPr="004439F1" w:rsidRDefault="004439F1" w:rsidP="005567B0">
            <w:pPr>
              <w:rPr>
                <w:rStyle w:val="ReplacementText"/>
              </w:rPr>
            </w:pPr>
            <w:r w:rsidRPr="004132CA">
              <w:rPr>
                <w:rStyle w:val="ReplacementText"/>
                <w:color w:val="auto"/>
              </w:rPr>
              <w:t xml:space="preserve">Destroy </w:t>
            </w:r>
            <w:r w:rsidR="00AB7787" w:rsidRPr="004132CA">
              <w:rPr>
                <w:rStyle w:val="ReplacementText"/>
                <w:color w:val="auto"/>
              </w:rPr>
              <w:t>2</w:t>
            </w:r>
            <w:r w:rsidRPr="004132CA">
              <w:rPr>
                <w:rStyle w:val="ReplacementText"/>
                <w:color w:val="auto"/>
              </w:rPr>
              <w:t xml:space="preserve"> years after </w:t>
            </w:r>
            <w:r w:rsidR="00DA09A4" w:rsidRPr="004132CA">
              <w:rPr>
                <w:rStyle w:val="ReplacementText"/>
                <w:color w:val="auto"/>
              </w:rPr>
              <w:t>action completed</w:t>
            </w:r>
          </w:p>
        </w:tc>
      </w:tr>
      <w:tr w:rsidR="007338B1" w14:paraId="18F25E81" w14:textId="77777777" w:rsidTr="005567B0">
        <w:tc>
          <w:tcPr>
            <w:tcW w:w="1555" w:type="dxa"/>
          </w:tcPr>
          <w:p w14:paraId="3E028BEC" w14:textId="14895F08" w:rsidR="007338B1" w:rsidRDefault="009303C3" w:rsidP="005567B0">
            <w:r>
              <w:rPr>
                <w:rStyle w:val="ReplacementText"/>
              </w:rPr>
              <w:t>X</w:t>
            </w:r>
            <w:r w:rsidR="007338B1" w:rsidRPr="003506CE">
              <w:rPr>
                <w:rStyle w:val="ReplacementText"/>
              </w:rPr>
              <w:t>xxx</w:t>
            </w:r>
            <w:r>
              <w:rPr>
                <w:rStyle w:val="ReplacementText"/>
              </w:rPr>
              <w:t>4</w:t>
            </w:r>
          </w:p>
        </w:tc>
        <w:tc>
          <w:tcPr>
            <w:tcW w:w="5386" w:type="dxa"/>
          </w:tcPr>
          <w:p w14:paraId="02BEAA24" w14:textId="77777777" w:rsidR="007338B1" w:rsidRDefault="007338B1" w:rsidP="005567B0">
            <w:r w:rsidRPr="00CD5A50">
              <w:t>Records documenting:</w:t>
            </w:r>
          </w:p>
          <w:p w14:paraId="6791CC8A" w14:textId="514486DA" w:rsidR="007338B1" w:rsidRPr="00CD5A50" w:rsidRDefault="007338B1" w:rsidP="00A32990">
            <w:pPr>
              <w:pStyle w:val="ListParagraph"/>
              <w:numPr>
                <w:ilvl w:val="0"/>
                <w:numId w:val="2"/>
              </w:numPr>
              <w:spacing w:after="120" w:line="240" w:lineRule="auto"/>
              <w:ind w:left="357" w:hanging="357"/>
              <w:contextualSpacing w:val="0"/>
            </w:pPr>
            <w:r w:rsidRPr="00CD5A50">
              <w:t>routine operational administrative tasks supporting the core business;</w:t>
            </w:r>
            <w:r w:rsidR="00DA09A4" w:rsidRPr="00CD5A50">
              <w:t xml:space="preserve"> and</w:t>
            </w:r>
          </w:p>
          <w:p w14:paraId="60A044A6" w14:textId="55785903" w:rsidR="0050544A" w:rsidRPr="00CD5A50" w:rsidRDefault="00AB7787" w:rsidP="00A32990">
            <w:pPr>
              <w:pStyle w:val="ListParagraph"/>
              <w:numPr>
                <w:ilvl w:val="0"/>
                <w:numId w:val="2"/>
              </w:numPr>
              <w:spacing w:line="240" w:lineRule="auto"/>
              <w:ind w:left="357" w:hanging="357"/>
              <w:contextualSpacing w:val="0"/>
            </w:pPr>
            <w:r w:rsidRPr="00CD5A50">
              <w:t xml:space="preserve">records of grant management </w:t>
            </w:r>
            <w:r w:rsidR="00014CF0">
              <w:t xml:space="preserve">activities </w:t>
            </w:r>
            <w:r w:rsidRPr="00CD5A50">
              <w:t xml:space="preserve">other than those covered in classes 1 to </w:t>
            </w:r>
            <w:r w:rsidR="0050544A">
              <w:t>3</w:t>
            </w:r>
            <w:r w:rsidRPr="00CD5A50">
              <w:t xml:space="preserve">. Includes case files of successful grant applicants not covered in </w:t>
            </w:r>
            <w:r w:rsidR="00E958CD">
              <w:t xml:space="preserve">class </w:t>
            </w:r>
            <w:r w:rsidRPr="00CD5A50">
              <w:t>1</w:t>
            </w:r>
            <w:r w:rsidR="009F45A0" w:rsidRPr="00CD5A50">
              <w:rPr>
                <w:rStyle w:val="ReplacementText"/>
                <w:color w:val="auto"/>
              </w:rPr>
              <w:t>.</w:t>
            </w:r>
            <w:r w:rsidR="00DA09A4" w:rsidRPr="00CD5A50" w:rsidDel="00DA09A4">
              <w:t xml:space="preserve"> </w:t>
            </w:r>
          </w:p>
          <w:p w14:paraId="30012245" w14:textId="1561CECB" w:rsidR="00AD580E" w:rsidRDefault="00AD580E" w:rsidP="00AD580E">
            <w:pPr>
              <w:pStyle w:val="CrossReferenceHeading"/>
              <w:spacing w:before="180"/>
              <w:rPr>
                <w:b w:val="0"/>
                <w:bCs/>
                <w:i/>
                <w:sz w:val="20"/>
                <w:szCs w:val="20"/>
              </w:rPr>
            </w:pPr>
            <w:commentRangeStart w:id="11"/>
            <w:r>
              <w:rPr>
                <w:b w:val="0"/>
                <w:bCs/>
                <w:i/>
                <w:sz w:val="20"/>
                <w:szCs w:val="20"/>
              </w:rPr>
              <w:t xml:space="preserve">NOTES: </w:t>
            </w:r>
          </w:p>
          <w:p w14:paraId="1664EBBD" w14:textId="4A51679F" w:rsidR="00AD580E" w:rsidRPr="008B153D" w:rsidRDefault="00AD580E" w:rsidP="00AD580E">
            <w:pPr>
              <w:pStyle w:val="CrossReferenceHeading"/>
              <w:spacing w:before="180"/>
              <w:rPr>
                <w:b w:val="0"/>
                <w:bCs/>
                <w:i/>
                <w:sz w:val="20"/>
                <w:szCs w:val="20"/>
              </w:rPr>
            </w:pPr>
            <w:r w:rsidRPr="008B153D">
              <w:rPr>
                <w:b w:val="0"/>
                <w:bCs/>
                <w:i/>
                <w:sz w:val="20"/>
                <w:szCs w:val="20"/>
              </w:rPr>
              <w:t>For the payment of grant money and managing the financial transactions to support the Grant Management business, use FINANCIAL MANAGEMENT. Class 62386</w:t>
            </w:r>
            <w:r>
              <w:rPr>
                <w:b w:val="0"/>
                <w:bCs/>
                <w:i/>
                <w:sz w:val="20"/>
                <w:szCs w:val="20"/>
              </w:rPr>
              <w:t xml:space="preserve"> </w:t>
            </w:r>
            <w:r w:rsidRPr="008B153D">
              <w:rPr>
                <w:b w:val="0"/>
                <w:bCs/>
                <w:i/>
                <w:sz w:val="20"/>
                <w:szCs w:val="20"/>
              </w:rPr>
              <w:t>Destroy 7 years after action completed</w:t>
            </w:r>
            <w:r>
              <w:rPr>
                <w:b w:val="0"/>
                <w:bCs/>
                <w:i/>
                <w:sz w:val="20"/>
                <w:szCs w:val="20"/>
              </w:rPr>
              <w:t xml:space="preserve">. </w:t>
            </w:r>
          </w:p>
          <w:p w14:paraId="1A3911F1" w14:textId="77777777" w:rsidR="00AD580E" w:rsidRPr="00340E86" w:rsidRDefault="00AD580E" w:rsidP="00AD580E">
            <w:pPr>
              <w:pStyle w:val="CrossReferenceHeading"/>
              <w:spacing w:before="180"/>
              <w:rPr>
                <w:bCs/>
                <w:i/>
              </w:rPr>
            </w:pPr>
            <w:r w:rsidRPr="008B153D">
              <w:rPr>
                <w:b w:val="0"/>
                <w:bCs/>
                <w:i/>
                <w:sz w:val="20"/>
                <w:szCs w:val="20"/>
              </w:rPr>
              <w:t>For the procurement of goods and services to support the operations of the Grant Management business use PROCUREMENT. Class 62544 Destroy 7 years after action completed</w:t>
            </w:r>
          </w:p>
          <w:p w14:paraId="5E87D8B6" w14:textId="407139A4" w:rsidR="0050544A" w:rsidRPr="00CD5A50" w:rsidRDefault="00AD580E" w:rsidP="00E958CD">
            <w:pPr>
              <w:pStyle w:val="ACTIVITYTEXT"/>
              <w:keepNext/>
              <w:keepLines/>
              <w:spacing w:before="85" w:after="120"/>
            </w:pPr>
            <w:r>
              <w:rPr>
                <w:i/>
              </w:rPr>
              <w:t xml:space="preserve">For the agency’s own applications for and receipt of grants use </w:t>
            </w:r>
            <w:r w:rsidR="00EA6BC0">
              <w:rPr>
                <w:i/>
              </w:rPr>
              <w:t>EXTERNAL RELATIONS</w:t>
            </w:r>
            <w:r>
              <w:rPr>
                <w:i/>
              </w:rPr>
              <w:t>.</w:t>
            </w:r>
            <w:r w:rsidRPr="00E7106B">
              <w:rPr>
                <w:rFonts w:cs="Arial"/>
                <w:color w:val="383B3C"/>
                <w:sz w:val="24"/>
                <w:szCs w:val="24"/>
                <w:lang w:eastAsia="en-AU"/>
              </w:rPr>
              <w:t xml:space="preserve"> </w:t>
            </w:r>
            <w:r>
              <w:rPr>
                <w:i/>
              </w:rPr>
              <w:t xml:space="preserve">Class 62661 Destroy 7 years after action completed. </w:t>
            </w:r>
            <w:commentRangeEnd w:id="11"/>
            <w:r w:rsidR="00EA6BC0">
              <w:rPr>
                <w:rStyle w:val="CommentReference"/>
                <w:rFonts w:eastAsiaTheme="minorHAnsi" w:cstheme="minorBidi"/>
              </w:rPr>
              <w:commentReference w:id="11"/>
            </w:r>
          </w:p>
        </w:tc>
        <w:tc>
          <w:tcPr>
            <w:tcW w:w="2075" w:type="dxa"/>
          </w:tcPr>
          <w:p w14:paraId="1C919AF5" w14:textId="5C9A4290" w:rsidR="007338B1" w:rsidRPr="004439F1" w:rsidRDefault="007338B1" w:rsidP="005567B0">
            <w:pPr>
              <w:rPr>
                <w:rStyle w:val="ReplacementText"/>
              </w:rPr>
            </w:pPr>
            <w:r w:rsidRPr="00CD5A50">
              <w:rPr>
                <w:rStyle w:val="ReplacementText"/>
                <w:color w:val="auto"/>
              </w:rPr>
              <w:t xml:space="preserve">Destroy </w:t>
            </w:r>
            <w:r w:rsidR="007E57CC" w:rsidRPr="00CD5A50">
              <w:rPr>
                <w:rStyle w:val="ReplacementText"/>
                <w:color w:val="auto"/>
              </w:rPr>
              <w:t>7</w:t>
            </w:r>
            <w:r w:rsidRPr="00CD5A50">
              <w:rPr>
                <w:rStyle w:val="ReplacementText"/>
                <w:color w:val="auto"/>
              </w:rPr>
              <w:t xml:space="preserve"> years after action</w:t>
            </w:r>
            <w:r w:rsidR="00DA09A4" w:rsidRPr="00CD5A50">
              <w:rPr>
                <w:rStyle w:val="ReplacementText"/>
                <w:color w:val="auto"/>
              </w:rPr>
              <w:t xml:space="preserve"> completed</w:t>
            </w:r>
          </w:p>
        </w:tc>
      </w:tr>
    </w:tbl>
    <w:p w14:paraId="45411E3A" w14:textId="73F78444" w:rsidR="0072084A" w:rsidRPr="0072084A" w:rsidRDefault="0072084A" w:rsidP="00E958CD">
      <w:pPr>
        <w:pStyle w:val="ACTIVITYTEXT"/>
        <w:spacing w:after="80"/>
        <w:rPr>
          <w:b/>
        </w:rPr>
      </w:pPr>
    </w:p>
    <w:sectPr w:rsidR="0072084A" w:rsidRPr="0072084A" w:rsidSect="00C51648">
      <w:headerReference w:type="even" r:id="rId33"/>
      <w:headerReference w:type="default" r:id="rId34"/>
      <w:headerReference w:type="first" r:id="rId35"/>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Christine Johnston" w:date="2025-06-13T11:17:00Z" w:initials="CJ">
    <w:p w14:paraId="44A068E0" w14:textId="77777777" w:rsidR="00D11A89" w:rsidRDefault="007053D6" w:rsidP="00D11A89">
      <w:pPr>
        <w:pStyle w:val="CommentText"/>
      </w:pPr>
      <w:r>
        <w:rPr>
          <w:rStyle w:val="CommentReference"/>
        </w:rPr>
        <w:annotationRef/>
      </w:r>
      <w:r w:rsidR="00D11A89">
        <w:t xml:space="preserve">Is this For reference clearer here or in the RNA class? - in both for now. </w:t>
      </w:r>
    </w:p>
  </w:comment>
  <w:comment w:id="6" w:author="Christine Johnston" w:date="2025-06-16T09:33:00Z" w:initials="CJ">
    <w:p w14:paraId="2057BE35" w14:textId="4BC1E4EC" w:rsidR="00D11A89" w:rsidRDefault="00904F40" w:rsidP="00D11A89">
      <w:pPr>
        <w:pStyle w:val="CommentText"/>
      </w:pPr>
      <w:r>
        <w:rPr>
          <w:rStyle w:val="CommentReference"/>
        </w:rPr>
        <w:annotationRef/>
      </w:r>
      <w:r w:rsidR="00D11A89">
        <w:t xml:space="preserve">These For references are all to D7 classes. Is it clearer to include them here, or as notes in  the D7 class? - - in both for now. </w:t>
      </w:r>
    </w:p>
  </w:comment>
  <w:comment w:id="9" w:author="Christine Johnston" w:date="2025-06-13T12:22:00Z" w:initials="CJ">
    <w:p w14:paraId="369B1D49" w14:textId="03981A96" w:rsidR="005F2586" w:rsidRDefault="005F2586" w:rsidP="005F2586">
      <w:pPr>
        <w:pStyle w:val="CommentText"/>
      </w:pPr>
      <w:r>
        <w:rPr>
          <w:rStyle w:val="CommentReference"/>
        </w:rPr>
        <w:annotationRef/>
      </w:r>
      <w:r>
        <w:t>Could retain all for 21 years to simplify</w:t>
      </w:r>
    </w:p>
  </w:comment>
  <w:comment w:id="10" w:author="Christine Johnston" w:date="2025-06-16T09:41:00Z" w:initials="CJ">
    <w:p w14:paraId="23510F45" w14:textId="77777777" w:rsidR="005F2586" w:rsidRDefault="005F2586" w:rsidP="005F2586">
      <w:pPr>
        <w:pStyle w:val="CommentText"/>
      </w:pPr>
      <w:r>
        <w:rPr>
          <w:rStyle w:val="CommentReference"/>
        </w:rPr>
        <w:annotationRef/>
      </w:r>
      <w:r>
        <w:t>Could we link to Contracts under seal/Deeds?</w:t>
      </w:r>
    </w:p>
  </w:comment>
  <w:comment w:id="11" w:author="Christine Johnston" w:date="2025-06-16T10:58:00Z" w:initials="CJ">
    <w:p w14:paraId="57D24A98" w14:textId="77777777" w:rsidR="00EA6BC0" w:rsidRDefault="00EA6BC0" w:rsidP="00EA6BC0">
      <w:pPr>
        <w:pStyle w:val="CommentText"/>
      </w:pPr>
      <w:r>
        <w:rPr>
          <w:rStyle w:val="CommentReference"/>
        </w:rPr>
        <w:annotationRef/>
      </w:r>
      <w:r>
        <w:t>These For references are all to D7 classes. Is it clearer to include them here, or under the scope 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4A068E0" w15:done="0"/>
  <w15:commentEx w15:paraId="2057BE35" w15:done="0"/>
  <w15:commentEx w15:paraId="369B1D49" w15:done="0"/>
  <w15:commentEx w15:paraId="23510F45" w15:done="0"/>
  <w15:commentEx w15:paraId="57D24A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89252E9" w16cex:dateUtc="2025-06-13T01:17:00Z"/>
  <w16cex:commentExtensible w16cex:durableId="0C22D40B" w16cex:dateUtc="2025-06-15T23:33:00Z"/>
  <w16cex:commentExtensible w16cex:durableId="2ED46D10" w16cex:dateUtc="2025-06-13T02:22:00Z"/>
  <w16cex:commentExtensible w16cex:durableId="78FB20F3" w16cex:dateUtc="2025-06-15T23:41:00Z"/>
  <w16cex:commentExtensible w16cex:durableId="49054D84" w16cex:dateUtc="2025-06-16T0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4A068E0" w16cid:durableId="689252E9"/>
  <w16cid:commentId w16cid:paraId="2057BE35" w16cid:durableId="0C22D40B"/>
  <w16cid:commentId w16cid:paraId="369B1D49" w16cid:durableId="2ED46D10"/>
  <w16cid:commentId w16cid:paraId="23510F45" w16cid:durableId="78FB20F3"/>
  <w16cid:commentId w16cid:paraId="57D24A98" w16cid:durableId="49054D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52A65" w14:textId="77777777" w:rsidR="006F2F54" w:rsidRDefault="006F2F54" w:rsidP="0008353F">
      <w:pPr>
        <w:spacing w:after="0" w:line="240" w:lineRule="auto"/>
      </w:pPr>
      <w:r>
        <w:separator/>
      </w:r>
    </w:p>
  </w:endnote>
  <w:endnote w:type="continuationSeparator" w:id="0">
    <w:p w14:paraId="46EE7177" w14:textId="77777777" w:rsidR="006F2F54" w:rsidRDefault="006F2F54" w:rsidP="00083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altName w:val="Cambri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8D8D7" w14:textId="77777777" w:rsidR="00C61154" w:rsidRDefault="00C611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677FE" w14:textId="040E507D" w:rsidR="00915224" w:rsidRPr="00605215" w:rsidRDefault="00915224" w:rsidP="00605215">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0100" w14:textId="0BCFC80E" w:rsidR="00605215" w:rsidRDefault="00605215" w:rsidP="00605215">
    <w:pPr>
      <w:pStyle w:val="Footer"/>
      <w:jc w:val="right"/>
    </w:pPr>
    <w:r w:rsidRPr="00F2692D">
      <w:t xml:space="preserve">National Archives of Australia                                                                                                                 </w:t>
    </w:r>
    <w:sdt>
      <w:sdtPr>
        <w:id w:val="82969288"/>
        <w:docPartObj>
          <w:docPartGallery w:val="Page Numbers (Bottom of Page)"/>
          <w:docPartUnique/>
        </w:docPartObj>
      </w:sdtPr>
      <w:sdtEndPr>
        <w:rPr>
          <w:noProof/>
        </w:rPr>
      </w:sdtEndPr>
      <w:sdtContent>
        <w:r w:rsidRPr="00F2692D">
          <w:fldChar w:fldCharType="begin"/>
        </w:r>
        <w:r w:rsidRPr="00F2692D">
          <w:instrText xml:space="preserve"> PAGE   \* MERGEFORMAT </w:instrText>
        </w:r>
        <w:r w:rsidRPr="00F2692D">
          <w:fldChar w:fldCharType="separate"/>
        </w:r>
        <w:r w:rsidR="00DB066C">
          <w:rPr>
            <w:noProof/>
          </w:rPr>
          <w:t>7</w:t>
        </w:r>
        <w:r w:rsidRPr="00F2692D">
          <w:rPr>
            <w:noProof/>
          </w:rPr>
          <w:fldChar w:fldCharType="end"/>
        </w:r>
      </w:sdtContent>
    </w:sdt>
  </w:p>
  <w:p w14:paraId="5D41B0DD" w14:textId="09544F77" w:rsidR="009930FD" w:rsidRPr="00605215" w:rsidRDefault="009930FD" w:rsidP="006052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BAC01" w14:textId="766385F1" w:rsidR="00605215" w:rsidRDefault="00605215" w:rsidP="00605215">
    <w:pPr>
      <w:pStyle w:val="Footer"/>
      <w:jc w:val="right"/>
    </w:pPr>
    <w:r w:rsidRPr="00F2692D">
      <w:t xml:space="preserve">National Archives of Australia                                                                                                                 </w:t>
    </w:r>
    <w:sdt>
      <w:sdtPr>
        <w:id w:val="773899218"/>
        <w:docPartObj>
          <w:docPartGallery w:val="Page Numbers (Bottom of Page)"/>
          <w:docPartUnique/>
        </w:docPartObj>
      </w:sdtPr>
      <w:sdtEndPr>
        <w:rPr>
          <w:noProof/>
        </w:rPr>
      </w:sdtEndPr>
      <w:sdtContent>
        <w:r w:rsidRPr="00F2692D">
          <w:fldChar w:fldCharType="begin"/>
        </w:r>
        <w:r w:rsidRPr="00F2692D">
          <w:instrText xml:space="preserve"> PAGE   \* MERGEFORMAT </w:instrText>
        </w:r>
        <w:r w:rsidRPr="00F2692D">
          <w:fldChar w:fldCharType="separate"/>
        </w:r>
        <w:r w:rsidR="00DB066C">
          <w:rPr>
            <w:noProof/>
          </w:rPr>
          <w:t>8</w:t>
        </w:r>
        <w:r w:rsidRPr="00F2692D">
          <w:rPr>
            <w:noProof/>
          </w:rPr>
          <w:fldChar w:fldCharType="end"/>
        </w:r>
      </w:sdtContent>
    </w:sdt>
  </w:p>
  <w:p w14:paraId="10028C04" w14:textId="77777777" w:rsidR="00605215" w:rsidRPr="00605215" w:rsidRDefault="00605215" w:rsidP="00605215">
    <w:pPr>
      <w:pStyle w:val="Footer"/>
      <w:tabs>
        <w:tab w:val="clear" w:pos="4513"/>
        <w:tab w:val="clear" w:pos="9026"/>
        <w:tab w:val="left" w:pos="232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43EC4" w14:textId="77777777" w:rsidR="006F2F54" w:rsidRDefault="006F2F54" w:rsidP="0008353F">
      <w:pPr>
        <w:spacing w:after="0" w:line="240" w:lineRule="auto"/>
      </w:pPr>
      <w:r>
        <w:separator/>
      </w:r>
    </w:p>
  </w:footnote>
  <w:footnote w:type="continuationSeparator" w:id="0">
    <w:p w14:paraId="187CC915" w14:textId="77777777" w:rsidR="006F2F54" w:rsidRDefault="006F2F54" w:rsidP="00083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06F0" w14:textId="77777777" w:rsidR="00C61154" w:rsidRDefault="00C611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4869068"/>
      <w:docPartObj>
        <w:docPartGallery w:val="Watermarks"/>
        <w:docPartUnique/>
      </w:docPartObj>
    </w:sdtPr>
    <w:sdtContent>
      <w:p w14:paraId="17840F2F" w14:textId="0B214E4A" w:rsidR="00C61154" w:rsidRDefault="00000000">
        <w:pPr>
          <w:pStyle w:val="Header"/>
        </w:pPr>
        <w:r>
          <w:rPr>
            <w:noProof/>
          </w:rPr>
          <w:pict w14:anchorId="2D9378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65FDE" w14:textId="29AA769E" w:rsidR="00B13F54" w:rsidRDefault="00B13F54" w:rsidP="00B13F54">
    <w:pPr>
      <w:pStyle w:val="Header"/>
    </w:pPr>
    <w:r w:rsidRPr="00F3473E">
      <w:t>Records Authority 20</w:t>
    </w:r>
    <w:r w:rsidRPr="00F3473E">
      <w:rPr>
        <w:rStyle w:val="ReplacementText"/>
      </w:rPr>
      <w:t>xx/</w:t>
    </w:r>
    <w:proofErr w:type="spellStart"/>
    <w:r w:rsidRPr="00F3473E">
      <w:rPr>
        <w:rStyle w:val="ReplacementText"/>
      </w:rPr>
      <w:t>xxxxxxxx</w:t>
    </w:r>
    <w:proofErr w:type="spellEnd"/>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2CCE1" w14:textId="2E81BB81" w:rsidR="00A76C65" w:rsidRDefault="00A76C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49123" w14:textId="420308B9" w:rsidR="00B128F5" w:rsidRDefault="00B128F5" w:rsidP="00B128F5">
    <w:pPr>
      <w:pBdr>
        <w:bottom w:val="single" w:sz="4" w:space="3" w:color="auto"/>
      </w:pBdr>
      <w:tabs>
        <w:tab w:val="center" w:pos="4513"/>
        <w:tab w:val="right" w:pos="9026"/>
      </w:tabs>
      <w:spacing w:after="240" w:line="240" w:lineRule="auto"/>
      <w:contextualSpacing/>
    </w:pPr>
    <w:r w:rsidRPr="00B128F5">
      <w:t>Records Authority 20</w:t>
    </w:r>
    <w:r w:rsidRPr="00B128F5">
      <w:rPr>
        <w:color w:val="ED7D31" w:themeColor="accent2"/>
      </w:rPr>
      <w:t>xx/</w:t>
    </w:r>
    <w:proofErr w:type="spellStart"/>
    <w:r w:rsidRPr="00B128F5">
      <w:rPr>
        <w:color w:val="ED7D31" w:themeColor="accent2"/>
      </w:rPr>
      <w:t>xxxxxxxx</w:t>
    </w:r>
    <w:proofErr w:type="spellEnd"/>
    <w:r w:rsidRPr="00B128F5">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32DC1" w14:textId="7D11CA10" w:rsidR="0077673D" w:rsidRDefault="0062659F" w:rsidP="00153BAD">
    <w:pPr>
      <w:pStyle w:val="Header"/>
      <w:rPr>
        <w:color w:val="ED7D31" w:themeColor="accent2"/>
      </w:rPr>
    </w:pPr>
    <w:r w:rsidRPr="00B128F5">
      <w:t>Records Authority 20</w:t>
    </w:r>
    <w:r w:rsidRPr="00B128F5">
      <w:rPr>
        <w:color w:val="ED7D31" w:themeColor="accent2"/>
      </w:rPr>
      <w:t>xx/</w:t>
    </w:r>
    <w:proofErr w:type="spellStart"/>
    <w:r w:rsidRPr="00B128F5">
      <w:rPr>
        <w:color w:val="ED7D31" w:themeColor="accent2"/>
      </w:rPr>
      <w:t>xxxxxxxx</w:t>
    </w:r>
    <w:proofErr w:type="spellEnd"/>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F1DED" w14:textId="077CF1D2" w:rsidR="00A76C65" w:rsidRDefault="00A76C6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C7364" w14:textId="5F55B757" w:rsidR="0077673D" w:rsidRDefault="0077673D" w:rsidP="00B128F5">
    <w:pPr>
      <w:pBdr>
        <w:bottom w:val="single" w:sz="4" w:space="3" w:color="auto"/>
      </w:pBdr>
      <w:tabs>
        <w:tab w:val="center" w:pos="4513"/>
        <w:tab w:val="right" w:pos="9026"/>
      </w:tabs>
      <w:spacing w:after="240" w:line="240" w:lineRule="auto"/>
      <w:contextualSpacing/>
    </w:pPr>
    <w:r w:rsidRPr="00B128F5">
      <w:t>Records Authority 20</w:t>
    </w:r>
    <w:r w:rsidRPr="00B128F5">
      <w:rPr>
        <w:color w:val="ED7D31" w:themeColor="accent2"/>
      </w:rPr>
      <w:t>xx/</w:t>
    </w:r>
    <w:proofErr w:type="spellStart"/>
    <w:r w:rsidRPr="00B128F5">
      <w:rPr>
        <w:color w:val="ED7D31" w:themeColor="accent2"/>
      </w:rPr>
      <w:t>xxxxxxxx</w:t>
    </w:r>
    <w:proofErr w:type="spellEnd"/>
    <w:r w:rsidRPr="00B128F5">
      <w:t xml:space="preserve"> </w:t>
    </w:r>
  </w:p>
  <w:p w14:paraId="61765783" w14:textId="77777777" w:rsidR="00A76C65" w:rsidRPr="00091FE0" w:rsidRDefault="00A76C65" w:rsidP="0077673D">
    <w:pPr>
      <w:rPr>
        <w:b/>
        <w:color w:val="ED7D31" w:themeColor="accent2"/>
        <w:sz w:val="4"/>
        <w:szCs w:val="4"/>
      </w:rPr>
    </w:pPr>
  </w:p>
  <w:p w14:paraId="5FF37C0C" w14:textId="16E9CF01" w:rsidR="0077673D" w:rsidRPr="0077673D" w:rsidRDefault="0077673D" w:rsidP="0063230D">
    <w:pPr>
      <w:spacing w:before="300" w:after="300" w:line="240" w:lineRule="auto"/>
      <w:rPr>
        <w:b/>
        <w:color w:val="ED7D31" w:themeColor="accent2"/>
        <w:sz w:val="32"/>
        <w:szCs w:val="32"/>
      </w:rPr>
    </w:pPr>
    <w:r w:rsidRPr="0077673D">
      <w:rPr>
        <w:b/>
        <w:color w:val="ED7D31" w:themeColor="accent2"/>
        <w:sz w:val="32"/>
        <w:szCs w:val="32"/>
      </w:rPr>
      <w:t>[</w:t>
    </w:r>
    <w:r w:rsidRPr="0063230D">
      <w:rPr>
        <w:b/>
        <w:color w:val="ED7D31" w:themeColor="accent2"/>
        <w:sz w:val="32"/>
        <w:szCs w:val="32"/>
      </w:rPr>
      <w:t>FUN</w:t>
    </w:r>
    <w:r w:rsidR="005567B0">
      <w:rPr>
        <w:b/>
        <w:color w:val="ED7D31" w:themeColor="accent2"/>
        <w:sz w:val="32"/>
        <w:szCs w:val="32"/>
      </w:rPr>
      <w:t>C</w:t>
    </w:r>
    <w:r w:rsidRPr="0063230D">
      <w:rPr>
        <w:b/>
        <w:color w:val="ED7D31" w:themeColor="accent2"/>
        <w:sz w:val="32"/>
        <w:szCs w:val="32"/>
      </w:rPr>
      <w:t>TION</w:t>
    </w:r>
    <w:r w:rsidRPr="0077673D">
      <w:rPr>
        <w:b/>
        <w:color w:val="ED7D31" w:themeColor="accent2"/>
        <w:sz w:val="32"/>
        <w:szCs w:val="32"/>
      </w:rPr>
      <w:t xml:space="preserve"> TITLE]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74684" w14:textId="09727847" w:rsidR="0077673D" w:rsidRDefault="0062659F" w:rsidP="003C445D">
    <w:pPr>
      <w:pStyle w:val="Header"/>
      <w:tabs>
        <w:tab w:val="clear" w:pos="4513"/>
        <w:tab w:val="clear" w:pos="9026"/>
        <w:tab w:val="left" w:pos="3660"/>
      </w:tabs>
      <w:rPr>
        <w:color w:val="ED7D31" w:themeColor="accent2"/>
      </w:rPr>
    </w:pPr>
    <w:r w:rsidRPr="0062659F">
      <w:t xml:space="preserve"> </w:t>
    </w:r>
    <w:r w:rsidRPr="00B128F5">
      <w:t>Records Authority 20</w:t>
    </w:r>
    <w:r w:rsidRPr="00B128F5">
      <w:rPr>
        <w:color w:val="ED7D31" w:themeColor="accent2"/>
      </w:rPr>
      <w:t>xx/</w:t>
    </w:r>
    <w:proofErr w:type="spellStart"/>
    <w:r w:rsidRPr="00B128F5">
      <w:rPr>
        <w:color w:val="ED7D31" w:themeColor="accent2"/>
      </w:rPr>
      <w:t>xxxxxxxx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810B4"/>
    <w:multiLevelType w:val="hybridMultilevel"/>
    <w:tmpl w:val="D62E592A"/>
    <w:lvl w:ilvl="0" w:tplc="B6B4C4E6">
      <w:start w:val="1"/>
      <w:numFmt w:val="bullet"/>
      <w:pStyle w:val="ListParagraph"/>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232E5B5E"/>
    <w:multiLevelType w:val="hybridMultilevel"/>
    <w:tmpl w:val="DE6EE07E"/>
    <w:lvl w:ilvl="0" w:tplc="D3D4F8DC">
      <w:numFmt w:val="bullet"/>
      <w:lvlText w:val=""/>
      <w:lvlJc w:val="left"/>
      <w:pPr>
        <w:ind w:left="1080" w:hanging="720"/>
      </w:pPr>
      <w:rPr>
        <w:rFonts w:ascii="Symbol" w:eastAsiaTheme="minorHAnsi" w:hAnsi="Symbol" w:cstheme="minorBidi"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636F59"/>
    <w:multiLevelType w:val="hybridMultilevel"/>
    <w:tmpl w:val="124672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F3C48B1"/>
    <w:multiLevelType w:val="hybridMultilevel"/>
    <w:tmpl w:val="48F8BE84"/>
    <w:lvl w:ilvl="0" w:tplc="846C9CD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FA637B"/>
    <w:multiLevelType w:val="hybridMultilevel"/>
    <w:tmpl w:val="7BC265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CB947DD"/>
    <w:multiLevelType w:val="hybridMultilevel"/>
    <w:tmpl w:val="4288D0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80293E"/>
    <w:multiLevelType w:val="hybridMultilevel"/>
    <w:tmpl w:val="B20CF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4CB5E42"/>
    <w:multiLevelType w:val="hybridMultilevel"/>
    <w:tmpl w:val="D38E8570"/>
    <w:lvl w:ilvl="0" w:tplc="B9600868">
      <w:start w:val="1"/>
      <w:numFmt w:val="decimal"/>
      <w:lvlText w:val="%1."/>
      <w:lvlJc w:val="left"/>
      <w:pPr>
        <w:ind w:left="451" w:hanging="360"/>
      </w:pPr>
      <w:rPr>
        <w:rFonts w:hint="default"/>
        <w:b w:val="0"/>
      </w:rPr>
    </w:lvl>
    <w:lvl w:ilvl="1" w:tplc="0C090001">
      <w:start w:val="1"/>
      <w:numFmt w:val="bullet"/>
      <w:lvlText w:val=""/>
      <w:lvlJc w:val="left"/>
      <w:pPr>
        <w:ind w:left="1171" w:hanging="360"/>
      </w:pPr>
      <w:rPr>
        <w:rFonts w:ascii="Symbol" w:hAnsi="Symbol" w:hint="default"/>
      </w:rPr>
    </w:lvl>
    <w:lvl w:ilvl="2" w:tplc="0C09001B" w:tentative="1">
      <w:start w:val="1"/>
      <w:numFmt w:val="lowerRoman"/>
      <w:lvlText w:val="%3."/>
      <w:lvlJc w:val="right"/>
      <w:pPr>
        <w:ind w:left="1891" w:hanging="180"/>
      </w:pPr>
    </w:lvl>
    <w:lvl w:ilvl="3" w:tplc="0C09000F" w:tentative="1">
      <w:start w:val="1"/>
      <w:numFmt w:val="decimal"/>
      <w:lvlText w:val="%4."/>
      <w:lvlJc w:val="left"/>
      <w:pPr>
        <w:ind w:left="2611" w:hanging="360"/>
      </w:pPr>
    </w:lvl>
    <w:lvl w:ilvl="4" w:tplc="0C090019" w:tentative="1">
      <w:start w:val="1"/>
      <w:numFmt w:val="lowerLetter"/>
      <w:lvlText w:val="%5."/>
      <w:lvlJc w:val="left"/>
      <w:pPr>
        <w:ind w:left="3331" w:hanging="360"/>
      </w:pPr>
    </w:lvl>
    <w:lvl w:ilvl="5" w:tplc="0C09001B" w:tentative="1">
      <w:start w:val="1"/>
      <w:numFmt w:val="lowerRoman"/>
      <w:lvlText w:val="%6."/>
      <w:lvlJc w:val="right"/>
      <w:pPr>
        <w:ind w:left="4051" w:hanging="180"/>
      </w:pPr>
    </w:lvl>
    <w:lvl w:ilvl="6" w:tplc="0C09000F" w:tentative="1">
      <w:start w:val="1"/>
      <w:numFmt w:val="decimal"/>
      <w:lvlText w:val="%7."/>
      <w:lvlJc w:val="left"/>
      <w:pPr>
        <w:ind w:left="4771" w:hanging="360"/>
      </w:pPr>
    </w:lvl>
    <w:lvl w:ilvl="7" w:tplc="0C090019" w:tentative="1">
      <w:start w:val="1"/>
      <w:numFmt w:val="lowerLetter"/>
      <w:lvlText w:val="%8."/>
      <w:lvlJc w:val="left"/>
      <w:pPr>
        <w:ind w:left="5491" w:hanging="360"/>
      </w:pPr>
    </w:lvl>
    <w:lvl w:ilvl="8" w:tplc="0C09001B" w:tentative="1">
      <w:start w:val="1"/>
      <w:numFmt w:val="lowerRoman"/>
      <w:lvlText w:val="%9."/>
      <w:lvlJc w:val="right"/>
      <w:pPr>
        <w:ind w:left="6211" w:hanging="180"/>
      </w:pPr>
    </w:lvl>
  </w:abstractNum>
  <w:num w:numId="1" w16cid:durableId="775712536">
    <w:abstractNumId w:val="0"/>
  </w:num>
  <w:num w:numId="2" w16cid:durableId="1809274462">
    <w:abstractNumId w:val="3"/>
  </w:num>
  <w:num w:numId="3" w16cid:durableId="1462502388">
    <w:abstractNumId w:val="1"/>
  </w:num>
  <w:num w:numId="4" w16cid:durableId="1486094761">
    <w:abstractNumId w:val="7"/>
  </w:num>
  <w:num w:numId="5" w16cid:durableId="1395542969">
    <w:abstractNumId w:val="4"/>
  </w:num>
  <w:num w:numId="6" w16cid:durableId="1362052048">
    <w:abstractNumId w:val="5"/>
  </w:num>
  <w:num w:numId="7" w16cid:durableId="1724331402">
    <w:abstractNumId w:val="6"/>
  </w:num>
  <w:num w:numId="8" w16cid:durableId="1686176802">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ristine Johnston">
    <w15:presenceInfo w15:providerId="AD" w15:userId="S::Christine.Johnston@naa.gov.au::3ad1c676-efe7-4f33-bb4a-17eb0e86df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9F4"/>
    <w:rsid w:val="00014A3E"/>
    <w:rsid w:val="00014CF0"/>
    <w:rsid w:val="00016B6B"/>
    <w:rsid w:val="00026FAB"/>
    <w:rsid w:val="000426E4"/>
    <w:rsid w:val="00043211"/>
    <w:rsid w:val="00044BFB"/>
    <w:rsid w:val="00046918"/>
    <w:rsid w:val="00050118"/>
    <w:rsid w:val="00050C9F"/>
    <w:rsid w:val="00050CEF"/>
    <w:rsid w:val="00052535"/>
    <w:rsid w:val="00055FE2"/>
    <w:rsid w:val="00071477"/>
    <w:rsid w:val="000722AA"/>
    <w:rsid w:val="00073BA9"/>
    <w:rsid w:val="00073F09"/>
    <w:rsid w:val="0007463A"/>
    <w:rsid w:val="00077B5D"/>
    <w:rsid w:val="00082147"/>
    <w:rsid w:val="0008353F"/>
    <w:rsid w:val="00091BDE"/>
    <w:rsid w:val="00091FE0"/>
    <w:rsid w:val="000975DE"/>
    <w:rsid w:val="000A2A54"/>
    <w:rsid w:val="000B326D"/>
    <w:rsid w:val="000C1C23"/>
    <w:rsid w:val="000C4999"/>
    <w:rsid w:val="000D3226"/>
    <w:rsid w:val="000E1452"/>
    <w:rsid w:val="000E6D77"/>
    <w:rsid w:val="000E75F3"/>
    <w:rsid w:val="000F1233"/>
    <w:rsid w:val="00104C7A"/>
    <w:rsid w:val="00106AB0"/>
    <w:rsid w:val="00115AC5"/>
    <w:rsid w:val="00120335"/>
    <w:rsid w:val="00123680"/>
    <w:rsid w:val="001273BC"/>
    <w:rsid w:val="0012762D"/>
    <w:rsid w:val="00140117"/>
    <w:rsid w:val="001405CC"/>
    <w:rsid w:val="00150198"/>
    <w:rsid w:val="0015025B"/>
    <w:rsid w:val="0015228B"/>
    <w:rsid w:val="00153BAD"/>
    <w:rsid w:val="00155A21"/>
    <w:rsid w:val="00157D19"/>
    <w:rsid w:val="001664F3"/>
    <w:rsid w:val="001727CB"/>
    <w:rsid w:val="00174935"/>
    <w:rsid w:val="001826BD"/>
    <w:rsid w:val="00192A77"/>
    <w:rsid w:val="00193B94"/>
    <w:rsid w:val="001A2537"/>
    <w:rsid w:val="001A4EE5"/>
    <w:rsid w:val="001B0C1E"/>
    <w:rsid w:val="001B464A"/>
    <w:rsid w:val="001B77FE"/>
    <w:rsid w:val="001D07CA"/>
    <w:rsid w:val="001D345F"/>
    <w:rsid w:val="001D4F58"/>
    <w:rsid w:val="001D5154"/>
    <w:rsid w:val="001D771B"/>
    <w:rsid w:val="001E7B5F"/>
    <w:rsid w:val="00202C6C"/>
    <w:rsid w:val="00213898"/>
    <w:rsid w:val="00222A0B"/>
    <w:rsid w:val="00231D2E"/>
    <w:rsid w:val="0023561C"/>
    <w:rsid w:val="00235A39"/>
    <w:rsid w:val="00251391"/>
    <w:rsid w:val="002626EA"/>
    <w:rsid w:val="002665BD"/>
    <w:rsid w:val="00267659"/>
    <w:rsid w:val="00272FF5"/>
    <w:rsid w:val="00276CCA"/>
    <w:rsid w:val="00284024"/>
    <w:rsid w:val="0028518A"/>
    <w:rsid w:val="00293724"/>
    <w:rsid w:val="00296050"/>
    <w:rsid w:val="002A11A2"/>
    <w:rsid w:val="002A1E44"/>
    <w:rsid w:val="002A61A4"/>
    <w:rsid w:val="002B05A1"/>
    <w:rsid w:val="002B1DEF"/>
    <w:rsid w:val="002B4506"/>
    <w:rsid w:val="002C6CE5"/>
    <w:rsid w:val="002C7C78"/>
    <w:rsid w:val="002D3931"/>
    <w:rsid w:val="002E1FF5"/>
    <w:rsid w:val="002E62D4"/>
    <w:rsid w:val="002E6E67"/>
    <w:rsid w:val="002E7E43"/>
    <w:rsid w:val="002F1492"/>
    <w:rsid w:val="00312AFB"/>
    <w:rsid w:val="0032077A"/>
    <w:rsid w:val="00322588"/>
    <w:rsid w:val="00323D53"/>
    <w:rsid w:val="00324F76"/>
    <w:rsid w:val="00326FF6"/>
    <w:rsid w:val="00327B0F"/>
    <w:rsid w:val="003363A5"/>
    <w:rsid w:val="00340E86"/>
    <w:rsid w:val="00345D2B"/>
    <w:rsid w:val="003506CE"/>
    <w:rsid w:val="00355380"/>
    <w:rsid w:val="003672BF"/>
    <w:rsid w:val="00372BD2"/>
    <w:rsid w:val="00375C98"/>
    <w:rsid w:val="0037789A"/>
    <w:rsid w:val="00381F6A"/>
    <w:rsid w:val="003840BB"/>
    <w:rsid w:val="00385DF3"/>
    <w:rsid w:val="00386FAD"/>
    <w:rsid w:val="0039451C"/>
    <w:rsid w:val="00394899"/>
    <w:rsid w:val="00394FC7"/>
    <w:rsid w:val="003A38FC"/>
    <w:rsid w:val="003A5CD4"/>
    <w:rsid w:val="003A6380"/>
    <w:rsid w:val="003A6D60"/>
    <w:rsid w:val="003B227B"/>
    <w:rsid w:val="003B5DEF"/>
    <w:rsid w:val="003C445D"/>
    <w:rsid w:val="003C4D34"/>
    <w:rsid w:val="003D1C60"/>
    <w:rsid w:val="003D4D47"/>
    <w:rsid w:val="003D7B62"/>
    <w:rsid w:val="003E6286"/>
    <w:rsid w:val="003E64F8"/>
    <w:rsid w:val="003F50CC"/>
    <w:rsid w:val="004132CA"/>
    <w:rsid w:val="00414B22"/>
    <w:rsid w:val="00416209"/>
    <w:rsid w:val="00437D9B"/>
    <w:rsid w:val="00440FD9"/>
    <w:rsid w:val="00442A81"/>
    <w:rsid w:val="004439F1"/>
    <w:rsid w:val="0044480A"/>
    <w:rsid w:val="00445C16"/>
    <w:rsid w:val="00454454"/>
    <w:rsid w:val="00455C50"/>
    <w:rsid w:val="00455D20"/>
    <w:rsid w:val="004577A3"/>
    <w:rsid w:val="004619E3"/>
    <w:rsid w:val="004719A8"/>
    <w:rsid w:val="004729A7"/>
    <w:rsid w:val="00482BAF"/>
    <w:rsid w:val="00483312"/>
    <w:rsid w:val="004835A4"/>
    <w:rsid w:val="00485B69"/>
    <w:rsid w:val="004870AF"/>
    <w:rsid w:val="0048771D"/>
    <w:rsid w:val="0049675D"/>
    <w:rsid w:val="004A245F"/>
    <w:rsid w:val="004A2F87"/>
    <w:rsid w:val="004A3AC9"/>
    <w:rsid w:val="004B05F6"/>
    <w:rsid w:val="004B3985"/>
    <w:rsid w:val="004B3B32"/>
    <w:rsid w:val="004B3ECA"/>
    <w:rsid w:val="004B4128"/>
    <w:rsid w:val="004C1ADD"/>
    <w:rsid w:val="004C1B5F"/>
    <w:rsid w:val="004C6477"/>
    <w:rsid w:val="004C7B11"/>
    <w:rsid w:val="004D06E6"/>
    <w:rsid w:val="004D54C0"/>
    <w:rsid w:val="004D58BD"/>
    <w:rsid w:val="004D69D5"/>
    <w:rsid w:val="004D6F37"/>
    <w:rsid w:val="004E1F80"/>
    <w:rsid w:val="0050544A"/>
    <w:rsid w:val="00524FB7"/>
    <w:rsid w:val="00525289"/>
    <w:rsid w:val="005266D0"/>
    <w:rsid w:val="00531E25"/>
    <w:rsid w:val="005326D8"/>
    <w:rsid w:val="00534D99"/>
    <w:rsid w:val="00535412"/>
    <w:rsid w:val="00537168"/>
    <w:rsid w:val="005408DB"/>
    <w:rsid w:val="00547758"/>
    <w:rsid w:val="005567B0"/>
    <w:rsid w:val="0055721C"/>
    <w:rsid w:val="005610E6"/>
    <w:rsid w:val="00571058"/>
    <w:rsid w:val="00575025"/>
    <w:rsid w:val="0057527D"/>
    <w:rsid w:val="0058617F"/>
    <w:rsid w:val="0059682D"/>
    <w:rsid w:val="00597D50"/>
    <w:rsid w:val="005A0060"/>
    <w:rsid w:val="005A30BE"/>
    <w:rsid w:val="005A739C"/>
    <w:rsid w:val="005B1A28"/>
    <w:rsid w:val="005B3652"/>
    <w:rsid w:val="005B5E3D"/>
    <w:rsid w:val="005C16F0"/>
    <w:rsid w:val="005D03FB"/>
    <w:rsid w:val="005E1D5A"/>
    <w:rsid w:val="005E2A59"/>
    <w:rsid w:val="005E3446"/>
    <w:rsid w:val="005E3675"/>
    <w:rsid w:val="005F1832"/>
    <w:rsid w:val="005F1D09"/>
    <w:rsid w:val="005F2586"/>
    <w:rsid w:val="00605215"/>
    <w:rsid w:val="00611341"/>
    <w:rsid w:val="006150DE"/>
    <w:rsid w:val="00623029"/>
    <w:rsid w:val="0062659F"/>
    <w:rsid w:val="00630C65"/>
    <w:rsid w:val="0063230D"/>
    <w:rsid w:val="0063247E"/>
    <w:rsid w:val="006421D0"/>
    <w:rsid w:val="006448CE"/>
    <w:rsid w:val="00650F75"/>
    <w:rsid w:val="006569C5"/>
    <w:rsid w:val="0066641A"/>
    <w:rsid w:val="00680DF4"/>
    <w:rsid w:val="006833AE"/>
    <w:rsid w:val="00692D56"/>
    <w:rsid w:val="006B485D"/>
    <w:rsid w:val="006B6547"/>
    <w:rsid w:val="006D1DBD"/>
    <w:rsid w:val="006D3AB4"/>
    <w:rsid w:val="006D73BF"/>
    <w:rsid w:val="006E7A3A"/>
    <w:rsid w:val="006F2F54"/>
    <w:rsid w:val="006F4504"/>
    <w:rsid w:val="006F5C04"/>
    <w:rsid w:val="006F5E83"/>
    <w:rsid w:val="00704DF8"/>
    <w:rsid w:val="007053D6"/>
    <w:rsid w:val="00706703"/>
    <w:rsid w:val="00712FBB"/>
    <w:rsid w:val="0072084A"/>
    <w:rsid w:val="007239F5"/>
    <w:rsid w:val="00730D24"/>
    <w:rsid w:val="007338B1"/>
    <w:rsid w:val="00735E0A"/>
    <w:rsid w:val="00737287"/>
    <w:rsid w:val="00740692"/>
    <w:rsid w:val="00752AC5"/>
    <w:rsid w:val="00754B5B"/>
    <w:rsid w:val="0076703F"/>
    <w:rsid w:val="00767247"/>
    <w:rsid w:val="0077218A"/>
    <w:rsid w:val="007730AD"/>
    <w:rsid w:val="0077673D"/>
    <w:rsid w:val="007775A8"/>
    <w:rsid w:val="0078478A"/>
    <w:rsid w:val="007854F6"/>
    <w:rsid w:val="00791FD0"/>
    <w:rsid w:val="007963F3"/>
    <w:rsid w:val="007967E7"/>
    <w:rsid w:val="007A15D4"/>
    <w:rsid w:val="007C0EB2"/>
    <w:rsid w:val="007C204A"/>
    <w:rsid w:val="007D3393"/>
    <w:rsid w:val="007E21A9"/>
    <w:rsid w:val="007E57CC"/>
    <w:rsid w:val="007F1242"/>
    <w:rsid w:val="00800EAF"/>
    <w:rsid w:val="00801D5D"/>
    <w:rsid w:val="00802977"/>
    <w:rsid w:val="00816AED"/>
    <w:rsid w:val="00821884"/>
    <w:rsid w:val="00825007"/>
    <w:rsid w:val="00825B32"/>
    <w:rsid w:val="00826171"/>
    <w:rsid w:val="00832FEE"/>
    <w:rsid w:val="0083639D"/>
    <w:rsid w:val="00840712"/>
    <w:rsid w:val="008448AF"/>
    <w:rsid w:val="008530C1"/>
    <w:rsid w:val="00854493"/>
    <w:rsid w:val="00875586"/>
    <w:rsid w:val="0088162C"/>
    <w:rsid w:val="008829F4"/>
    <w:rsid w:val="00887217"/>
    <w:rsid w:val="008907BB"/>
    <w:rsid w:val="00897DE8"/>
    <w:rsid w:val="008A2863"/>
    <w:rsid w:val="008A38AB"/>
    <w:rsid w:val="008A4832"/>
    <w:rsid w:val="008B0EF8"/>
    <w:rsid w:val="008B5BF3"/>
    <w:rsid w:val="008C2749"/>
    <w:rsid w:val="008D032F"/>
    <w:rsid w:val="008D0DD4"/>
    <w:rsid w:val="008D1B9A"/>
    <w:rsid w:val="008D39B1"/>
    <w:rsid w:val="008D4AD4"/>
    <w:rsid w:val="008D7158"/>
    <w:rsid w:val="008E0BC0"/>
    <w:rsid w:val="008F327D"/>
    <w:rsid w:val="00902A03"/>
    <w:rsid w:val="009035B4"/>
    <w:rsid w:val="00904F40"/>
    <w:rsid w:val="00905867"/>
    <w:rsid w:val="00911D9B"/>
    <w:rsid w:val="00913188"/>
    <w:rsid w:val="0091480D"/>
    <w:rsid w:val="00915224"/>
    <w:rsid w:val="0091738C"/>
    <w:rsid w:val="009216FC"/>
    <w:rsid w:val="009303C3"/>
    <w:rsid w:val="00937BE0"/>
    <w:rsid w:val="00946F30"/>
    <w:rsid w:val="00963541"/>
    <w:rsid w:val="009728CD"/>
    <w:rsid w:val="00974495"/>
    <w:rsid w:val="00982925"/>
    <w:rsid w:val="00983C38"/>
    <w:rsid w:val="00984248"/>
    <w:rsid w:val="00986302"/>
    <w:rsid w:val="009930FD"/>
    <w:rsid w:val="00993CBD"/>
    <w:rsid w:val="0099438C"/>
    <w:rsid w:val="0099609B"/>
    <w:rsid w:val="009A7ECA"/>
    <w:rsid w:val="009C302B"/>
    <w:rsid w:val="009C6920"/>
    <w:rsid w:val="009D607A"/>
    <w:rsid w:val="009E0680"/>
    <w:rsid w:val="009E44B7"/>
    <w:rsid w:val="009E72D0"/>
    <w:rsid w:val="009F1154"/>
    <w:rsid w:val="009F45A0"/>
    <w:rsid w:val="009F50A0"/>
    <w:rsid w:val="009F580E"/>
    <w:rsid w:val="009F6B8A"/>
    <w:rsid w:val="00A003E0"/>
    <w:rsid w:val="00A01980"/>
    <w:rsid w:val="00A058EF"/>
    <w:rsid w:val="00A167D9"/>
    <w:rsid w:val="00A30A39"/>
    <w:rsid w:val="00A32990"/>
    <w:rsid w:val="00A35F92"/>
    <w:rsid w:val="00A3627F"/>
    <w:rsid w:val="00A37FB8"/>
    <w:rsid w:val="00A52D06"/>
    <w:rsid w:val="00A6134D"/>
    <w:rsid w:val="00A671B1"/>
    <w:rsid w:val="00A76C65"/>
    <w:rsid w:val="00A8507F"/>
    <w:rsid w:val="00AA0B9A"/>
    <w:rsid w:val="00AA2B11"/>
    <w:rsid w:val="00AB2B19"/>
    <w:rsid w:val="00AB3899"/>
    <w:rsid w:val="00AB7787"/>
    <w:rsid w:val="00AC4FCF"/>
    <w:rsid w:val="00AD2F76"/>
    <w:rsid w:val="00AD4C1D"/>
    <w:rsid w:val="00AD580E"/>
    <w:rsid w:val="00AD64BA"/>
    <w:rsid w:val="00AE343D"/>
    <w:rsid w:val="00AE40CC"/>
    <w:rsid w:val="00AE6EC3"/>
    <w:rsid w:val="00AF6054"/>
    <w:rsid w:val="00AF7061"/>
    <w:rsid w:val="00B047F8"/>
    <w:rsid w:val="00B116D8"/>
    <w:rsid w:val="00B128F5"/>
    <w:rsid w:val="00B13F54"/>
    <w:rsid w:val="00B15291"/>
    <w:rsid w:val="00B15F64"/>
    <w:rsid w:val="00B249D3"/>
    <w:rsid w:val="00B252D2"/>
    <w:rsid w:val="00B33D7F"/>
    <w:rsid w:val="00B42425"/>
    <w:rsid w:val="00B44268"/>
    <w:rsid w:val="00B44509"/>
    <w:rsid w:val="00B46509"/>
    <w:rsid w:val="00B52BF3"/>
    <w:rsid w:val="00B55510"/>
    <w:rsid w:val="00B62AE3"/>
    <w:rsid w:val="00B6555B"/>
    <w:rsid w:val="00B66550"/>
    <w:rsid w:val="00B66983"/>
    <w:rsid w:val="00B714B6"/>
    <w:rsid w:val="00B736F4"/>
    <w:rsid w:val="00B73A98"/>
    <w:rsid w:val="00B74695"/>
    <w:rsid w:val="00B92605"/>
    <w:rsid w:val="00B943CF"/>
    <w:rsid w:val="00B95BDA"/>
    <w:rsid w:val="00BA6C4D"/>
    <w:rsid w:val="00BC00AE"/>
    <w:rsid w:val="00BC37D1"/>
    <w:rsid w:val="00BC3FC3"/>
    <w:rsid w:val="00BC5BDF"/>
    <w:rsid w:val="00BD240E"/>
    <w:rsid w:val="00BD2782"/>
    <w:rsid w:val="00BD29E9"/>
    <w:rsid w:val="00BE2885"/>
    <w:rsid w:val="00BE46A5"/>
    <w:rsid w:val="00BE6B57"/>
    <w:rsid w:val="00BF042C"/>
    <w:rsid w:val="00C034D2"/>
    <w:rsid w:val="00C077B8"/>
    <w:rsid w:val="00C07AD9"/>
    <w:rsid w:val="00C23DD7"/>
    <w:rsid w:val="00C27D58"/>
    <w:rsid w:val="00C37749"/>
    <w:rsid w:val="00C51648"/>
    <w:rsid w:val="00C61154"/>
    <w:rsid w:val="00C64F2A"/>
    <w:rsid w:val="00C808C6"/>
    <w:rsid w:val="00C854A8"/>
    <w:rsid w:val="00C910BC"/>
    <w:rsid w:val="00CA23BD"/>
    <w:rsid w:val="00CA3110"/>
    <w:rsid w:val="00CB34C6"/>
    <w:rsid w:val="00CC5015"/>
    <w:rsid w:val="00CD3C9F"/>
    <w:rsid w:val="00CD40A7"/>
    <w:rsid w:val="00CD51A8"/>
    <w:rsid w:val="00CD5A50"/>
    <w:rsid w:val="00CF3E98"/>
    <w:rsid w:val="00CF44E2"/>
    <w:rsid w:val="00D11A89"/>
    <w:rsid w:val="00D12264"/>
    <w:rsid w:val="00D12448"/>
    <w:rsid w:val="00D14A0B"/>
    <w:rsid w:val="00D243A8"/>
    <w:rsid w:val="00D27AD6"/>
    <w:rsid w:val="00D339F1"/>
    <w:rsid w:val="00D538C9"/>
    <w:rsid w:val="00D55082"/>
    <w:rsid w:val="00D575BE"/>
    <w:rsid w:val="00D62A4E"/>
    <w:rsid w:val="00D6761F"/>
    <w:rsid w:val="00D75327"/>
    <w:rsid w:val="00D77B73"/>
    <w:rsid w:val="00DA09A4"/>
    <w:rsid w:val="00DA584B"/>
    <w:rsid w:val="00DB066C"/>
    <w:rsid w:val="00DB3082"/>
    <w:rsid w:val="00DC496B"/>
    <w:rsid w:val="00DD1A14"/>
    <w:rsid w:val="00DE194E"/>
    <w:rsid w:val="00DE2F3C"/>
    <w:rsid w:val="00DE6C14"/>
    <w:rsid w:val="00DF5556"/>
    <w:rsid w:val="00DF6FD9"/>
    <w:rsid w:val="00E1271B"/>
    <w:rsid w:val="00E14446"/>
    <w:rsid w:val="00E35AC2"/>
    <w:rsid w:val="00E43EC2"/>
    <w:rsid w:val="00E4503C"/>
    <w:rsid w:val="00E453C1"/>
    <w:rsid w:val="00E500E1"/>
    <w:rsid w:val="00E528A0"/>
    <w:rsid w:val="00E56ADA"/>
    <w:rsid w:val="00E61CBA"/>
    <w:rsid w:val="00E7106B"/>
    <w:rsid w:val="00E735F8"/>
    <w:rsid w:val="00E75395"/>
    <w:rsid w:val="00E854C3"/>
    <w:rsid w:val="00E914C5"/>
    <w:rsid w:val="00E9174E"/>
    <w:rsid w:val="00E932A5"/>
    <w:rsid w:val="00E958CD"/>
    <w:rsid w:val="00E96733"/>
    <w:rsid w:val="00EA1086"/>
    <w:rsid w:val="00EA6BC0"/>
    <w:rsid w:val="00EB7598"/>
    <w:rsid w:val="00EC230A"/>
    <w:rsid w:val="00EC686F"/>
    <w:rsid w:val="00ED61B5"/>
    <w:rsid w:val="00EE0594"/>
    <w:rsid w:val="00EE2773"/>
    <w:rsid w:val="00EE578E"/>
    <w:rsid w:val="00EF0E4E"/>
    <w:rsid w:val="00EF1A4F"/>
    <w:rsid w:val="00F02452"/>
    <w:rsid w:val="00F2015A"/>
    <w:rsid w:val="00F21259"/>
    <w:rsid w:val="00F22E79"/>
    <w:rsid w:val="00F2672E"/>
    <w:rsid w:val="00F2692D"/>
    <w:rsid w:val="00F3473E"/>
    <w:rsid w:val="00F409C8"/>
    <w:rsid w:val="00F44F14"/>
    <w:rsid w:val="00F51B71"/>
    <w:rsid w:val="00F53E0C"/>
    <w:rsid w:val="00F56D78"/>
    <w:rsid w:val="00F60DA2"/>
    <w:rsid w:val="00F80096"/>
    <w:rsid w:val="00F82F92"/>
    <w:rsid w:val="00F938DF"/>
    <w:rsid w:val="00F9765B"/>
    <w:rsid w:val="00FA2A09"/>
    <w:rsid w:val="00FB4C6E"/>
    <w:rsid w:val="00FB56C9"/>
    <w:rsid w:val="00FF26A4"/>
    <w:rsid w:val="00FF47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0F3BF"/>
  <w15:chartTrackingRefBased/>
  <w15:docId w15:val="{1DF3456E-3C06-474B-A31D-723D8E8B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86F"/>
    <w:rPr>
      <w:rFonts w:ascii="Arial" w:hAnsi="Arial"/>
      <w:sz w:val="20"/>
    </w:rPr>
  </w:style>
  <w:style w:type="paragraph" w:styleId="Heading1">
    <w:name w:val="heading 1"/>
    <w:basedOn w:val="Normal"/>
    <w:next w:val="Normal"/>
    <w:link w:val="Heading1Char"/>
    <w:uiPriority w:val="9"/>
    <w:qFormat/>
    <w:rsid w:val="007E57CC"/>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3506CE"/>
    <w:pPr>
      <w:keepNext/>
      <w:keepLines/>
      <w:spacing w:before="240" w:after="120"/>
      <w:outlineLvl w:val="1"/>
    </w:pPr>
    <w:rPr>
      <w:rFonts w:eastAsiaTheme="majorEastAsia" w:cstheme="majorBidi"/>
      <w:b/>
      <w:sz w:val="28"/>
      <w:szCs w:val="26"/>
    </w:rPr>
  </w:style>
  <w:style w:type="paragraph" w:styleId="Heading3">
    <w:name w:val="heading 3"/>
    <w:basedOn w:val="Normal"/>
    <w:next w:val="Normal"/>
    <w:link w:val="Heading3Char"/>
    <w:uiPriority w:val="9"/>
    <w:semiHidden/>
    <w:unhideWhenUsed/>
    <w:qFormat/>
    <w:rsid w:val="00986302"/>
    <w:pPr>
      <w:keepNext/>
      <w:keepLines/>
      <w:spacing w:before="40" w:after="0"/>
      <w:outlineLvl w:val="2"/>
    </w:pPr>
    <w:rPr>
      <w:rFonts w:asciiTheme="majorHAnsi" w:eastAsiaTheme="majorEastAsia" w:hAnsiTheme="majorHAnsi" w:cstheme="majorBidi"/>
      <w:b/>
      <w:szCs w:val="24"/>
    </w:rPr>
  </w:style>
  <w:style w:type="paragraph" w:styleId="Heading6">
    <w:name w:val="heading 6"/>
    <w:basedOn w:val="Normal"/>
    <w:next w:val="Normal"/>
    <w:link w:val="Heading6Char"/>
    <w:uiPriority w:val="9"/>
    <w:semiHidden/>
    <w:unhideWhenUsed/>
    <w:qFormat/>
    <w:rsid w:val="00AB77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7CC"/>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3506CE"/>
    <w:rPr>
      <w:rFonts w:ascii="Arial" w:eastAsiaTheme="majorEastAsia" w:hAnsi="Arial" w:cstheme="majorBidi"/>
      <w:b/>
      <w:sz w:val="28"/>
      <w:szCs w:val="26"/>
    </w:rPr>
  </w:style>
  <w:style w:type="paragraph" w:styleId="Header">
    <w:name w:val="header"/>
    <w:basedOn w:val="Normal"/>
    <w:link w:val="HeaderChar"/>
    <w:uiPriority w:val="99"/>
    <w:unhideWhenUsed/>
    <w:rsid w:val="0008353F"/>
    <w:pPr>
      <w:pBdr>
        <w:bottom w:val="single" w:sz="4" w:space="3" w:color="auto"/>
      </w:pBdr>
      <w:tabs>
        <w:tab w:val="center" w:pos="4513"/>
        <w:tab w:val="right" w:pos="9026"/>
      </w:tabs>
      <w:spacing w:after="240" w:line="240" w:lineRule="auto"/>
      <w:contextualSpacing/>
    </w:pPr>
  </w:style>
  <w:style w:type="character" w:customStyle="1" w:styleId="HeaderChar">
    <w:name w:val="Header Char"/>
    <w:basedOn w:val="DefaultParagraphFont"/>
    <w:link w:val="Header"/>
    <w:uiPriority w:val="99"/>
    <w:rsid w:val="0008353F"/>
    <w:rPr>
      <w:rFonts w:ascii="Arial" w:hAnsi="Arial"/>
      <w:sz w:val="20"/>
    </w:rPr>
  </w:style>
  <w:style w:type="paragraph" w:styleId="Footer">
    <w:name w:val="footer"/>
    <w:basedOn w:val="Normal"/>
    <w:link w:val="FooterChar"/>
    <w:uiPriority w:val="99"/>
    <w:unhideWhenUsed/>
    <w:rsid w:val="0008353F"/>
    <w:pPr>
      <w:pBdr>
        <w:top w:val="single" w:sz="4" w:space="4" w:color="auto"/>
      </w:pBdr>
      <w:tabs>
        <w:tab w:val="center" w:pos="4513"/>
        <w:tab w:val="right" w:pos="9026"/>
      </w:tabs>
      <w:spacing w:before="240" w:after="0" w:line="240" w:lineRule="auto"/>
      <w:contextualSpacing/>
    </w:pPr>
  </w:style>
  <w:style w:type="character" w:customStyle="1" w:styleId="FooterChar">
    <w:name w:val="Footer Char"/>
    <w:basedOn w:val="DefaultParagraphFont"/>
    <w:link w:val="Footer"/>
    <w:uiPriority w:val="99"/>
    <w:rsid w:val="0008353F"/>
    <w:rPr>
      <w:rFonts w:ascii="Arial" w:hAnsi="Arial"/>
      <w:sz w:val="20"/>
    </w:rPr>
  </w:style>
  <w:style w:type="paragraph" w:customStyle="1" w:styleId="Logo">
    <w:name w:val="Logo"/>
    <w:basedOn w:val="Normal"/>
    <w:qFormat/>
    <w:rsid w:val="0008353F"/>
    <w:pPr>
      <w:spacing w:after="1920"/>
      <w:jc w:val="center"/>
    </w:pPr>
    <w:rPr>
      <w:noProof/>
      <w:lang w:eastAsia="en-AU"/>
    </w:rPr>
  </w:style>
  <w:style w:type="paragraph" w:styleId="Title">
    <w:name w:val="Title"/>
    <w:basedOn w:val="Normal"/>
    <w:next w:val="Normal"/>
    <w:link w:val="TitleChar"/>
    <w:uiPriority w:val="10"/>
    <w:qFormat/>
    <w:rsid w:val="0008353F"/>
    <w:pPr>
      <w:spacing w:after="0" w:line="240" w:lineRule="auto"/>
      <w:contextualSpacing/>
      <w:jc w:val="center"/>
    </w:pPr>
    <w:rPr>
      <w:rFonts w:eastAsiaTheme="majorEastAsia" w:cstheme="majorBidi"/>
      <w:kern w:val="28"/>
      <w:sz w:val="52"/>
      <w:szCs w:val="56"/>
    </w:rPr>
  </w:style>
  <w:style w:type="character" w:customStyle="1" w:styleId="TitleChar">
    <w:name w:val="Title Char"/>
    <w:basedOn w:val="DefaultParagraphFont"/>
    <w:link w:val="Title"/>
    <w:uiPriority w:val="10"/>
    <w:rsid w:val="0008353F"/>
    <w:rPr>
      <w:rFonts w:ascii="Arial" w:eastAsiaTheme="majorEastAsia" w:hAnsi="Arial" w:cstheme="majorBidi"/>
      <w:kern w:val="28"/>
      <w:sz w:val="52"/>
      <w:szCs w:val="56"/>
    </w:rPr>
  </w:style>
  <w:style w:type="paragraph" w:styleId="Subtitle">
    <w:name w:val="Subtitle"/>
    <w:basedOn w:val="Normal"/>
    <w:next w:val="Normal"/>
    <w:link w:val="SubtitleChar"/>
    <w:uiPriority w:val="11"/>
    <w:qFormat/>
    <w:rsid w:val="00B46509"/>
    <w:pPr>
      <w:numPr>
        <w:ilvl w:val="1"/>
      </w:numPr>
      <w:spacing w:after="1920"/>
      <w:jc w:val="center"/>
    </w:pPr>
    <w:rPr>
      <w:rFonts w:eastAsiaTheme="minorEastAsia"/>
      <w:sz w:val="40"/>
    </w:rPr>
  </w:style>
  <w:style w:type="character" w:customStyle="1" w:styleId="SubtitleChar">
    <w:name w:val="Subtitle Char"/>
    <w:basedOn w:val="DefaultParagraphFont"/>
    <w:link w:val="Subtitle"/>
    <w:uiPriority w:val="11"/>
    <w:rsid w:val="00B46509"/>
    <w:rPr>
      <w:rFonts w:ascii="Arial" w:eastAsiaTheme="minorEastAsia" w:hAnsi="Arial"/>
      <w:sz w:val="40"/>
    </w:rPr>
  </w:style>
  <w:style w:type="paragraph" w:customStyle="1" w:styleId="AgencyName">
    <w:name w:val="Agency Name"/>
    <w:basedOn w:val="Normal"/>
    <w:qFormat/>
    <w:rsid w:val="00B46509"/>
    <w:pPr>
      <w:jc w:val="center"/>
    </w:pPr>
    <w:rPr>
      <w:b/>
      <w:sz w:val="52"/>
    </w:rPr>
  </w:style>
  <w:style w:type="paragraph" w:customStyle="1" w:styleId="SubAgencyName">
    <w:name w:val="Sub Agency Name"/>
    <w:basedOn w:val="AgencyName"/>
    <w:next w:val="Normal"/>
    <w:qFormat/>
    <w:rsid w:val="00B46509"/>
    <w:pPr>
      <w:spacing w:after="0"/>
    </w:pPr>
    <w:rPr>
      <w:b w:val="0"/>
      <w:i/>
      <w:sz w:val="32"/>
    </w:rPr>
  </w:style>
  <w:style w:type="paragraph" w:customStyle="1" w:styleId="CoreBusinessTitles">
    <w:name w:val="Core Business Titles"/>
    <w:basedOn w:val="Normal"/>
    <w:qFormat/>
    <w:rsid w:val="00B46509"/>
    <w:pPr>
      <w:spacing w:before="840" w:after="120"/>
      <w:contextualSpacing/>
      <w:jc w:val="center"/>
    </w:pPr>
    <w:rPr>
      <w:i/>
      <w:sz w:val="40"/>
    </w:rPr>
  </w:style>
  <w:style w:type="paragraph" w:customStyle="1" w:styleId="YearTitle">
    <w:name w:val="Year Title"/>
    <w:basedOn w:val="Normal"/>
    <w:qFormat/>
    <w:rsid w:val="00B46509"/>
    <w:pPr>
      <w:spacing w:before="960" w:after="0" w:line="360" w:lineRule="auto"/>
      <w:jc w:val="center"/>
    </w:pPr>
    <w:rPr>
      <w:sz w:val="40"/>
    </w:rPr>
  </w:style>
  <w:style w:type="character" w:styleId="Emphasis">
    <w:name w:val="Emphasis"/>
    <w:basedOn w:val="DefaultParagraphFont"/>
    <w:uiPriority w:val="20"/>
    <w:rsid w:val="00B46509"/>
    <w:rPr>
      <w:rFonts w:ascii="Arial" w:hAnsi="Arial"/>
      <w:b/>
      <w:i w:val="0"/>
      <w:iCs/>
      <w:sz w:val="24"/>
    </w:rPr>
  </w:style>
  <w:style w:type="character" w:styleId="Hyperlink">
    <w:name w:val="Hyperlink"/>
    <w:basedOn w:val="DefaultParagraphFont"/>
    <w:uiPriority w:val="99"/>
    <w:unhideWhenUsed/>
    <w:rsid w:val="00B46509"/>
    <w:rPr>
      <w:color w:val="0563C1" w:themeColor="hyperlink"/>
      <w:u w:val="single"/>
    </w:rPr>
  </w:style>
  <w:style w:type="paragraph" w:customStyle="1" w:styleId="Heading1NoTOC">
    <w:name w:val="Heading 1 No TOC"/>
    <w:basedOn w:val="Normal"/>
    <w:next w:val="Normal"/>
    <w:qFormat/>
    <w:rsid w:val="004B3985"/>
    <w:rPr>
      <w:sz w:val="36"/>
    </w:rPr>
  </w:style>
  <w:style w:type="paragraph" w:customStyle="1" w:styleId="InstructionalText">
    <w:name w:val="Instructional Text"/>
    <w:basedOn w:val="Normal"/>
    <w:qFormat/>
    <w:rsid w:val="007967E7"/>
    <w:rPr>
      <w:color w:val="FF0000"/>
    </w:rPr>
  </w:style>
  <w:style w:type="paragraph" w:styleId="TOC1">
    <w:name w:val="toc 1"/>
    <w:basedOn w:val="Normal"/>
    <w:next w:val="Normal"/>
    <w:autoRedefine/>
    <w:uiPriority w:val="39"/>
    <w:unhideWhenUsed/>
    <w:rsid w:val="00F51B71"/>
    <w:pPr>
      <w:tabs>
        <w:tab w:val="right" w:leader="dot" w:pos="9016"/>
      </w:tabs>
      <w:spacing w:before="89" w:after="240" w:line="240" w:lineRule="auto"/>
    </w:pPr>
    <w:rPr>
      <w:b/>
      <w:noProof/>
      <w:sz w:val="24"/>
      <w:szCs w:val="24"/>
    </w:rPr>
  </w:style>
  <w:style w:type="character" w:customStyle="1" w:styleId="ReplacementText">
    <w:name w:val="Replacement Text"/>
    <w:basedOn w:val="DefaultParagraphFont"/>
    <w:uiPriority w:val="1"/>
    <w:qFormat/>
    <w:rsid w:val="004B3985"/>
    <w:rPr>
      <w:color w:val="ED7D31" w:themeColor="accent2"/>
    </w:rPr>
  </w:style>
  <w:style w:type="paragraph" w:styleId="ListParagraph">
    <w:name w:val="List Paragraph"/>
    <w:basedOn w:val="Normal"/>
    <w:uiPriority w:val="34"/>
    <w:qFormat/>
    <w:rsid w:val="007E21A9"/>
    <w:pPr>
      <w:numPr>
        <w:numId w:val="1"/>
      </w:numPr>
      <w:spacing w:after="240" w:line="276" w:lineRule="auto"/>
      <w:contextualSpacing/>
    </w:pPr>
  </w:style>
  <w:style w:type="table" w:styleId="TableGrid">
    <w:name w:val="Table Grid"/>
    <w:basedOn w:val="TableNormal"/>
    <w:uiPriority w:val="39"/>
    <w:rsid w:val="00394FC7"/>
    <w:pPr>
      <w:spacing w:before="120" w:after="1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uthorisatonTable">
    <w:name w:val="Authorisaton Table"/>
    <w:basedOn w:val="TableNormal"/>
    <w:uiPriority w:val="99"/>
    <w:rsid w:val="007963F3"/>
    <w:pPr>
      <w:spacing w:after="0" w:line="240" w:lineRule="auto"/>
    </w:pPr>
    <w:tblPr>
      <w:tblCellMar>
        <w:top w:w="170" w:type="dxa"/>
        <w:left w:w="142" w:type="dxa"/>
        <w:bottom w:w="170" w:type="dxa"/>
        <w:right w:w="142" w:type="dxa"/>
      </w:tblCellMar>
    </w:tblPr>
    <w:trPr>
      <w:cantSplit/>
    </w:trPr>
    <w:tcPr>
      <w:shd w:val="clear" w:color="auto" w:fill="F2F2F2" w:themeFill="background1" w:themeFillShade="F2"/>
    </w:tcPr>
  </w:style>
  <w:style w:type="table" w:customStyle="1" w:styleId="AuthorisationTable">
    <w:name w:val="Authorisation Table"/>
    <w:basedOn w:val="TableNormal"/>
    <w:uiPriority w:val="99"/>
    <w:rsid w:val="00BF042C"/>
    <w:pPr>
      <w:spacing w:after="0" w:line="240" w:lineRule="auto"/>
    </w:pPr>
    <w:tblPr>
      <w:tblBorders>
        <w:top w:val="single" w:sz="4" w:space="0" w:color="auto"/>
        <w:left w:val="single" w:sz="4" w:space="0" w:color="auto"/>
        <w:bottom w:val="single" w:sz="4" w:space="0" w:color="auto"/>
        <w:right w:val="single" w:sz="4" w:space="0" w:color="auto"/>
      </w:tblBorders>
      <w:tblCellMar>
        <w:top w:w="113" w:type="dxa"/>
        <w:bottom w:w="113" w:type="dxa"/>
      </w:tblCellMar>
    </w:tblPr>
    <w:tcPr>
      <w:shd w:val="clear" w:color="auto" w:fill="auto"/>
    </w:tcPr>
  </w:style>
  <w:style w:type="paragraph" w:customStyle="1" w:styleId="AuthorisationSignatureBlock">
    <w:name w:val="Authorisation Signature Block"/>
    <w:basedOn w:val="Normal"/>
    <w:qFormat/>
    <w:rsid w:val="00BF042C"/>
    <w:pPr>
      <w:tabs>
        <w:tab w:val="center" w:pos="6810"/>
      </w:tabs>
      <w:spacing w:before="960" w:after="0" w:line="240" w:lineRule="auto"/>
      <w:contextualSpacing/>
    </w:pPr>
  </w:style>
  <w:style w:type="paragraph" w:customStyle="1" w:styleId="Heading1WithPageBreak">
    <w:name w:val="Heading 1 With Page Break"/>
    <w:basedOn w:val="Heading1"/>
    <w:next w:val="Normal"/>
    <w:qFormat/>
    <w:rsid w:val="00437D9B"/>
    <w:pPr>
      <w:pageBreakBefore/>
    </w:pPr>
  </w:style>
  <w:style w:type="paragraph" w:customStyle="1" w:styleId="CrossReferenceHeading">
    <w:name w:val="Cross Reference Heading"/>
    <w:basedOn w:val="Normal"/>
    <w:next w:val="CrossReferenceText"/>
    <w:qFormat/>
    <w:rsid w:val="003506CE"/>
    <w:pPr>
      <w:spacing w:before="240" w:after="120"/>
    </w:pPr>
    <w:rPr>
      <w:b/>
      <w:sz w:val="24"/>
    </w:rPr>
  </w:style>
  <w:style w:type="paragraph" w:customStyle="1" w:styleId="CrossReferenceText">
    <w:name w:val="Cross Reference Text"/>
    <w:basedOn w:val="Normal"/>
    <w:qFormat/>
    <w:rsid w:val="00437D9B"/>
    <w:rPr>
      <w:i/>
    </w:rPr>
  </w:style>
  <w:style w:type="table" w:customStyle="1" w:styleId="ClassesTable">
    <w:name w:val="Classes Table"/>
    <w:basedOn w:val="TableNormal"/>
    <w:uiPriority w:val="99"/>
    <w:rsid w:val="007967E7"/>
    <w:pPr>
      <w:spacing w:after="60" w:line="240" w:lineRule="auto"/>
    </w:pPr>
    <w:rPr>
      <w:rFonts w:ascii="Arial" w:hAnsi="Arial"/>
      <w:sz w:val="20"/>
    </w:rPr>
    <w:tblPr>
      <w:tblStyleRowBandSize w:val="1"/>
      <w:tblStyleCol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113" w:type="dxa"/>
        <w:bottom w:w="113" w:type="dxa"/>
      </w:tblCellMar>
    </w:tblPr>
    <w:tblStylePr w:type="firstRow">
      <w:rPr>
        <w:rFonts w:ascii="Arial" w:hAnsi="Arial"/>
        <w:b/>
        <w:sz w:val="20"/>
      </w:rPr>
    </w:tblStylePr>
    <w:tblStylePr w:type="lastRow">
      <w:rPr>
        <w:rFonts w:ascii="Arial" w:hAnsi="Arial"/>
        <w:sz w:val="20"/>
      </w:rPr>
    </w:tblStylePr>
    <w:tblStylePr w:type="firstCol">
      <w:pPr>
        <w:wordWrap/>
        <w:spacing w:afterLines="0" w:after="60" w:afterAutospacing="0"/>
        <w:contextualSpacing w:val="0"/>
      </w:pPr>
      <w:rPr>
        <w:rFonts w:ascii="Arial" w:hAnsi="Arial"/>
        <w:sz w:val="20"/>
      </w:rPr>
    </w:tblStylePr>
    <w:tblStylePr w:type="lastCol">
      <w:pPr>
        <w:wordWrap/>
        <w:spacing w:afterLines="0" w:after="60" w:afterAutospacing="0"/>
        <w:contextualSpacing w:val="0"/>
      </w:pPr>
      <w:rPr>
        <w:rFonts w:ascii="Arial" w:hAnsi="Arial"/>
        <w:sz w:val="20"/>
      </w:rPr>
    </w:tblStylePr>
    <w:tblStylePr w:type="band1Vert">
      <w:rPr>
        <w:rFonts w:ascii="Arial" w:hAnsi="Arial"/>
        <w:sz w:val="20"/>
      </w:rPr>
    </w:tblStylePr>
    <w:tblStylePr w:type="band2Vert">
      <w:rPr>
        <w:rFonts w:ascii="Arial" w:hAnsi="Arial"/>
        <w:sz w:val="20"/>
      </w:rPr>
    </w:tblStylePr>
    <w:tblStylePr w:type="band1Horz">
      <w:pPr>
        <w:wordWrap/>
        <w:spacing w:afterLines="0" w:after="60" w:afterAutospacing="0"/>
        <w:contextualSpacing w:val="0"/>
      </w:pPr>
      <w:rPr>
        <w:rFonts w:ascii="Arial" w:hAnsi="Arial"/>
        <w:sz w:val="20"/>
      </w:rPr>
    </w:tblStylePr>
    <w:tblStylePr w:type="band2Horz">
      <w:pPr>
        <w:wordWrap/>
        <w:spacing w:afterLines="0" w:after="60" w:afterAutospacing="0"/>
        <w:contextualSpacing w:val="0"/>
      </w:pPr>
      <w:rPr>
        <w:rFonts w:ascii="Arial" w:hAnsi="Arial"/>
        <w:sz w:val="20"/>
      </w:rPr>
    </w:tblStylePr>
  </w:style>
  <w:style w:type="paragraph" w:customStyle="1" w:styleId="ClassesTableHeadings">
    <w:name w:val="Classes Table Headings"/>
    <w:basedOn w:val="Normal"/>
    <w:qFormat/>
    <w:rsid w:val="00986302"/>
    <w:pPr>
      <w:spacing w:after="0" w:line="240" w:lineRule="auto"/>
    </w:pPr>
    <w:rPr>
      <w:szCs w:val="20"/>
    </w:rPr>
  </w:style>
  <w:style w:type="character" w:customStyle="1" w:styleId="Heading3Char">
    <w:name w:val="Heading 3 Char"/>
    <w:basedOn w:val="DefaultParagraphFont"/>
    <w:link w:val="Heading3"/>
    <w:uiPriority w:val="9"/>
    <w:semiHidden/>
    <w:rsid w:val="00986302"/>
    <w:rPr>
      <w:rFonts w:asciiTheme="majorHAnsi" w:eastAsiaTheme="majorEastAsia" w:hAnsiTheme="majorHAnsi" w:cstheme="majorBidi"/>
      <w:b/>
      <w:sz w:val="24"/>
      <w:szCs w:val="24"/>
    </w:rPr>
  </w:style>
  <w:style w:type="character" w:styleId="CommentReference">
    <w:name w:val="annotation reference"/>
    <w:basedOn w:val="DefaultParagraphFont"/>
    <w:uiPriority w:val="99"/>
    <w:semiHidden/>
    <w:unhideWhenUsed/>
    <w:rsid w:val="001727CB"/>
    <w:rPr>
      <w:sz w:val="16"/>
      <w:szCs w:val="16"/>
    </w:rPr>
  </w:style>
  <w:style w:type="paragraph" w:styleId="CommentText">
    <w:name w:val="annotation text"/>
    <w:basedOn w:val="Normal"/>
    <w:link w:val="CommentTextChar"/>
    <w:uiPriority w:val="99"/>
    <w:unhideWhenUsed/>
    <w:rsid w:val="001727CB"/>
    <w:pPr>
      <w:spacing w:line="240" w:lineRule="auto"/>
    </w:pPr>
    <w:rPr>
      <w:szCs w:val="20"/>
    </w:rPr>
  </w:style>
  <w:style w:type="character" w:customStyle="1" w:styleId="CommentTextChar">
    <w:name w:val="Comment Text Char"/>
    <w:basedOn w:val="DefaultParagraphFont"/>
    <w:link w:val="CommentText"/>
    <w:uiPriority w:val="99"/>
    <w:rsid w:val="001727C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727CB"/>
    <w:rPr>
      <w:b/>
      <w:bCs/>
    </w:rPr>
  </w:style>
  <w:style w:type="character" w:customStyle="1" w:styleId="CommentSubjectChar">
    <w:name w:val="Comment Subject Char"/>
    <w:basedOn w:val="CommentTextChar"/>
    <w:link w:val="CommentSubject"/>
    <w:uiPriority w:val="99"/>
    <w:semiHidden/>
    <w:rsid w:val="001727CB"/>
    <w:rPr>
      <w:rFonts w:ascii="Arial" w:hAnsi="Arial"/>
      <w:b/>
      <w:bCs/>
      <w:sz w:val="20"/>
      <w:szCs w:val="20"/>
    </w:rPr>
  </w:style>
  <w:style w:type="paragraph" w:styleId="BalloonText">
    <w:name w:val="Balloon Text"/>
    <w:basedOn w:val="Normal"/>
    <w:link w:val="BalloonTextChar"/>
    <w:uiPriority w:val="99"/>
    <w:semiHidden/>
    <w:unhideWhenUsed/>
    <w:rsid w:val="00172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7CB"/>
    <w:rPr>
      <w:rFonts w:ascii="Segoe UI" w:hAnsi="Segoe UI" w:cs="Segoe UI"/>
      <w:sz w:val="18"/>
      <w:szCs w:val="18"/>
    </w:rPr>
  </w:style>
  <w:style w:type="paragraph" w:customStyle="1" w:styleId="CrossReferenceInsideTable">
    <w:name w:val="Cross Reference Inside Table"/>
    <w:basedOn w:val="CrossReferenceText"/>
    <w:qFormat/>
    <w:rsid w:val="003506CE"/>
    <w:pPr>
      <w:spacing w:before="60" w:after="60" w:line="240" w:lineRule="auto"/>
    </w:pPr>
    <w:rPr>
      <w:color w:val="0070C0"/>
      <w:szCs w:val="20"/>
    </w:rPr>
  </w:style>
  <w:style w:type="paragraph" w:styleId="Revision">
    <w:name w:val="Revision"/>
    <w:hidden/>
    <w:uiPriority w:val="99"/>
    <w:semiHidden/>
    <w:rsid w:val="00537168"/>
    <w:pPr>
      <w:spacing w:after="0" w:line="240" w:lineRule="auto"/>
    </w:pPr>
    <w:rPr>
      <w:rFonts w:ascii="Arial" w:hAnsi="Arial"/>
      <w:sz w:val="20"/>
    </w:rPr>
  </w:style>
  <w:style w:type="character" w:styleId="FollowedHyperlink">
    <w:name w:val="FollowedHyperlink"/>
    <w:basedOn w:val="DefaultParagraphFont"/>
    <w:uiPriority w:val="99"/>
    <w:semiHidden/>
    <w:unhideWhenUsed/>
    <w:rsid w:val="003B5DEF"/>
    <w:rPr>
      <w:color w:val="954F72" w:themeColor="followedHyperlink"/>
      <w:u w:val="single"/>
    </w:rPr>
  </w:style>
  <w:style w:type="paragraph" w:styleId="TOCHeading">
    <w:name w:val="TOC Heading"/>
    <w:basedOn w:val="Heading1"/>
    <w:next w:val="Normal"/>
    <w:uiPriority w:val="39"/>
    <w:unhideWhenUsed/>
    <w:qFormat/>
    <w:rsid w:val="00EC686F"/>
    <w:pPr>
      <w:spacing w:after="0"/>
      <w:outlineLvl w:val="9"/>
    </w:pPr>
    <w:rPr>
      <w:rFonts w:asciiTheme="majorHAnsi" w:hAnsiTheme="majorHAnsi"/>
      <w:b w:val="0"/>
      <w:color w:val="2E74B5" w:themeColor="accent1" w:themeShade="BF"/>
      <w:lang w:val="en-US"/>
    </w:rPr>
  </w:style>
  <w:style w:type="paragraph" w:styleId="TOC2">
    <w:name w:val="toc 2"/>
    <w:basedOn w:val="Normal"/>
    <w:next w:val="Normal"/>
    <w:autoRedefine/>
    <w:uiPriority w:val="39"/>
    <w:unhideWhenUsed/>
    <w:rsid w:val="00EC686F"/>
    <w:pPr>
      <w:spacing w:after="100"/>
      <w:ind w:left="220"/>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EC686F"/>
    <w:pPr>
      <w:spacing w:after="100"/>
      <w:ind w:left="440"/>
    </w:pPr>
    <w:rPr>
      <w:rFonts w:asciiTheme="minorHAnsi" w:eastAsiaTheme="minorEastAsia" w:hAnsiTheme="minorHAnsi" w:cs="Times New Roman"/>
      <w:sz w:val="22"/>
      <w:lang w:val="en-US"/>
    </w:rPr>
  </w:style>
  <w:style w:type="paragraph" w:customStyle="1" w:styleId="Default">
    <w:name w:val="Default"/>
    <w:rsid w:val="00296050"/>
    <w:pPr>
      <w:autoSpaceDE w:val="0"/>
      <w:autoSpaceDN w:val="0"/>
      <w:adjustRightInd w:val="0"/>
      <w:spacing w:after="0" w:line="240" w:lineRule="auto"/>
    </w:pPr>
    <w:rPr>
      <w:rFonts w:ascii="Arial" w:hAnsi="Arial" w:cs="Arial"/>
      <w:color w:val="000000"/>
      <w:sz w:val="24"/>
      <w:szCs w:val="24"/>
    </w:rPr>
  </w:style>
  <w:style w:type="table" w:customStyle="1" w:styleId="AuthorisationTable1">
    <w:name w:val="Authorisation Table1"/>
    <w:basedOn w:val="TableNormal"/>
    <w:uiPriority w:val="99"/>
    <w:rsid w:val="001B0C1E"/>
    <w:pPr>
      <w:spacing w:after="0" w:line="240" w:lineRule="auto"/>
    </w:pPr>
    <w:tblPr>
      <w:tblBorders>
        <w:top w:val="single" w:sz="4" w:space="0" w:color="auto"/>
        <w:left w:val="single" w:sz="4" w:space="0" w:color="auto"/>
        <w:bottom w:val="single" w:sz="4" w:space="0" w:color="auto"/>
        <w:right w:val="single" w:sz="4" w:space="0" w:color="auto"/>
      </w:tblBorders>
      <w:tblCellMar>
        <w:top w:w="113" w:type="dxa"/>
        <w:bottom w:w="113" w:type="dxa"/>
      </w:tblCellMar>
    </w:tblPr>
    <w:tcPr>
      <w:shd w:val="clear" w:color="auto" w:fill="auto"/>
    </w:tcPr>
  </w:style>
  <w:style w:type="paragraph" w:customStyle="1" w:styleId="acthead5">
    <w:name w:val="acthead5"/>
    <w:basedOn w:val="Normal"/>
    <w:rsid w:val="001A4EE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1A4EE5"/>
  </w:style>
  <w:style w:type="paragraph" w:customStyle="1" w:styleId="subsection">
    <w:name w:val="subsection"/>
    <w:basedOn w:val="Normal"/>
    <w:rsid w:val="001A4EE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1A4EE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alty">
    <w:name w:val="penalty"/>
    <w:basedOn w:val="Normal"/>
    <w:rsid w:val="001A4EE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
    <w:name w:val="notetext"/>
    <w:basedOn w:val="Normal"/>
    <w:rsid w:val="001A4EE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692D56"/>
    <w:pPr>
      <w:spacing w:before="100" w:beforeAutospacing="1" w:after="100" w:afterAutospacing="1" w:line="240" w:lineRule="auto"/>
    </w:pPr>
    <w:rPr>
      <w:rFonts w:ascii="Calibri" w:hAnsi="Calibri" w:cs="Calibri"/>
      <w:sz w:val="22"/>
      <w:lang w:eastAsia="en-AU"/>
    </w:rPr>
  </w:style>
  <w:style w:type="paragraph" w:styleId="BodyText">
    <w:name w:val="Body Text"/>
    <w:basedOn w:val="Normal"/>
    <w:link w:val="BodyTextChar"/>
    <w:rsid w:val="005408DB"/>
    <w:pPr>
      <w:widowControl w:val="0"/>
      <w:tabs>
        <w:tab w:val="left" w:pos="90"/>
      </w:tabs>
      <w:spacing w:before="26" w:after="0" w:line="240" w:lineRule="auto"/>
    </w:pPr>
    <w:rPr>
      <w:rFonts w:ascii="Book Antiqua" w:eastAsia="Times New Roman" w:hAnsi="Book Antiqua" w:cs="Arial"/>
      <w:szCs w:val="20"/>
    </w:rPr>
  </w:style>
  <w:style w:type="character" w:customStyle="1" w:styleId="BodyTextChar">
    <w:name w:val="Body Text Char"/>
    <w:basedOn w:val="DefaultParagraphFont"/>
    <w:link w:val="BodyText"/>
    <w:rsid w:val="005408DB"/>
    <w:rPr>
      <w:rFonts w:ascii="Book Antiqua" w:eastAsia="Times New Roman" w:hAnsi="Book Antiqua" w:cs="Arial"/>
      <w:sz w:val="20"/>
      <w:szCs w:val="20"/>
    </w:rPr>
  </w:style>
  <w:style w:type="paragraph" w:customStyle="1" w:styleId="ACTIVITYTEXT">
    <w:name w:val="ACTIVITYTEXT"/>
    <w:rsid w:val="00BA6C4D"/>
    <w:pPr>
      <w:spacing w:before="40" w:after="0" w:line="240" w:lineRule="auto"/>
    </w:pPr>
    <w:rPr>
      <w:rFonts w:ascii="Arial" w:eastAsia="Times New Roman" w:hAnsi="Arial" w:cs="Times New Roman"/>
      <w:sz w:val="20"/>
      <w:szCs w:val="20"/>
    </w:rPr>
  </w:style>
  <w:style w:type="paragraph" w:customStyle="1" w:styleId="HEADERTEXT">
    <w:name w:val="HEADERTEXT"/>
    <w:basedOn w:val="Normal"/>
    <w:rsid w:val="00BA6C4D"/>
    <w:pPr>
      <w:spacing w:after="0" w:line="240" w:lineRule="auto"/>
    </w:pPr>
    <w:rPr>
      <w:rFonts w:ascii="Book Antiqua" w:eastAsia="Times New Roman" w:hAnsi="Book Antiqua" w:cs="Times New Roman"/>
      <w:sz w:val="18"/>
      <w:szCs w:val="20"/>
    </w:rPr>
  </w:style>
  <w:style w:type="paragraph" w:customStyle="1" w:styleId="HeaderNoText">
    <w:name w:val="HeaderNoText"/>
    <w:basedOn w:val="Normal"/>
    <w:rsid w:val="00BA6C4D"/>
    <w:pPr>
      <w:spacing w:before="89" w:after="0" w:line="240" w:lineRule="auto"/>
      <w:ind w:left="3119"/>
      <w:jc w:val="center"/>
    </w:pPr>
    <w:rPr>
      <w:rFonts w:eastAsia="Times New Roman" w:cs="Times New Roman"/>
      <w:sz w:val="2"/>
      <w:szCs w:val="20"/>
    </w:rPr>
  </w:style>
  <w:style w:type="paragraph" w:customStyle="1" w:styleId="RDATitle">
    <w:name w:val="RDA Title"/>
    <w:basedOn w:val="Heading6"/>
    <w:rsid w:val="00AB7787"/>
    <w:pPr>
      <w:keepLines w:val="0"/>
      <w:spacing w:before="89" w:after="120" w:line="240" w:lineRule="auto"/>
      <w:ind w:left="3600" w:right="-424"/>
      <w:jc w:val="center"/>
    </w:pPr>
    <w:rPr>
      <w:rFonts w:ascii="Book Antiqua" w:eastAsia="Times New Roman" w:hAnsi="Book Antiqua" w:cs="Times New Roman"/>
      <w:color w:val="auto"/>
      <w:sz w:val="52"/>
      <w:szCs w:val="20"/>
    </w:rPr>
  </w:style>
  <w:style w:type="character" w:customStyle="1" w:styleId="Heading6Char">
    <w:name w:val="Heading 6 Char"/>
    <w:basedOn w:val="DefaultParagraphFont"/>
    <w:link w:val="Heading6"/>
    <w:uiPriority w:val="9"/>
    <w:semiHidden/>
    <w:rsid w:val="00AB7787"/>
    <w:rPr>
      <w:rFonts w:asciiTheme="majorHAnsi" w:eastAsiaTheme="majorEastAsia" w:hAnsiTheme="majorHAnsi" w:cstheme="majorBidi"/>
      <w:color w:val="1F4D78" w:themeColor="accent1" w:themeShade="7F"/>
      <w:sz w:val="20"/>
    </w:rPr>
  </w:style>
  <w:style w:type="character" w:styleId="UnresolvedMention">
    <w:name w:val="Unresolved Mention"/>
    <w:basedOn w:val="DefaultParagraphFont"/>
    <w:uiPriority w:val="99"/>
    <w:semiHidden/>
    <w:unhideWhenUsed/>
    <w:rsid w:val="003D4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87582">
      <w:bodyDiv w:val="1"/>
      <w:marLeft w:val="0"/>
      <w:marRight w:val="0"/>
      <w:marTop w:val="0"/>
      <w:marBottom w:val="0"/>
      <w:divBdr>
        <w:top w:val="none" w:sz="0" w:space="0" w:color="auto"/>
        <w:left w:val="none" w:sz="0" w:space="0" w:color="auto"/>
        <w:bottom w:val="none" w:sz="0" w:space="0" w:color="auto"/>
        <w:right w:val="none" w:sz="0" w:space="0" w:color="auto"/>
      </w:divBdr>
    </w:div>
    <w:div w:id="176039991">
      <w:bodyDiv w:val="1"/>
      <w:marLeft w:val="0"/>
      <w:marRight w:val="0"/>
      <w:marTop w:val="0"/>
      <w:marBottom w:val="0"/>
      <w:divBdr>
        <w:top w:val="none" w:sz="0" w:space="0" w:color="auto"/>
        <w:left w:val="none" w:sz="0" w:space="0" w:color="auto"/>
        <w:bottom w:val="none" w:sz="0" w:space="0" w:color="auto"/>
        <w:right w:val="none" w:sz="0" w:space="0" w:color="auto"/>
      </w:divBdr>
      <w:divsChild>
        <w:div w:id="2086486671">
          <w:marLeft w:val="0"/>
          <w:marRight w:val="0"/>
          <w:marTop w:val="0"/>
          <w:marBottom w:val="0"/>
          <w:divBdr>
            <w:top w:val="none" w:sz="0" w:space="0" w:color="auto"/>
            <w:left w:val="none" w:sz="0" w:space="0" w:color="auto"/>
            <w:bottom w:val="none" w:sz="0" w:space="0" w:color="auto"/>
            <w:right w:val="none" w:sz="0" w:space="0" w:color="auto"/>
          </w:divBdr>
        </w:div>
        <w:div w:id="1994291576">
          <w:marLeft w:val="0"/>
          <w:marRight w:val="0"/>
          <w:marTop w:val="0"/>
          <w:marBottom w:val="0"/>
          <w:divBdr>
            <w:top w:val="none" w:sz="0" w:space="0" w:color="auto"/>
            <w:left w:val="none" w:sz="0" w:space="0" w:color="auto"/>
            <w:bottom w:val="none" w:sz="0" w:space="0" w:color="auto"/>
            <w:right w:val="none" w:sz="0" w:space="0" w:color="auto"/>
          </w:divBdr>
        </w:div>
        <w:div w:id="752094616">
          <w:marLeft w:val="0"/>
          <w:marRight w:val="0"/>
          <w:marTop w:val="0"/>
          <w:marBottom w:val="0"/>
          <w:divBdr>
            <w:top w:val="none" w:sz="0" w:space="0" w:color="auto"/>
            <w:left w:val="none" w:sz="0" w:space="0" w:color="auto"/>
            <w:bottom w:val="none" w:sz="0" w:space="0" w:color="auto"/>
            <w:right w:val="none" w:sz="0" w:space="0" w:color="auto"/>
          </w:divBdr>
        </w:div>
        <w:div w:id="170918186">
          <w:marLeft w:val="0"/>
          <w:marRight w:val="0"/>
          <w:marTop w:val="0"/>
          <w:marBottom w:val="0"/>
          <w:divBdr>
            <w:top w:val="none" w:sz="0" w:space="0" w:color="auto"/>
            <w:left w:val="none" w:sz="0" w:space="0" w:color="auto"/>
            <w:bottom w:val="none" w:sz="0" w:space="0" w:color="auto"/>
            <w:right w:val="none" w:sz="0" w:space="0" w:color="auto"/>
          </w:divBdr>
        </w:div>
        <w:div w:id="1132363570">
          <w:marLeft w:val="0"/>
          <w:marRight w:val="0"/>
          <w:marTop w:val="0"/>
          <w:marBottom w:val="0"/>
          <w:divBdr>
            <w:top w:val="none" w:sz="0" w:space="0" w:color="auto"/>
            <w:left w:val="none" w:sz="0" w:space="0" w:color="auto"/>
            <w:bottom w:val="none" w:sz="0" w:space="0" w:color="auto"/>
            <w:right w:val="none" w:sz="0" w:space="0" w:color="auto"/>
          </w:divBdr>
        </w:div>
        <w:div w:id="1162041134">
          <w:marLeft w:val="0"/>
          <w:marRight w:val="0"/>
          <w:marTop w:val="0"/>
          <w:marBottom w:val="0"/>
          <w:divBdr>
            <w:top w:val="none" w:sz="0" w:space="0" w:color="auto"/>
            <w:left w:val="none" w:sz="0" w:space="0" w:color="auto"/>
            <w:bottom w:val="none" w:sz="0" w:space="0" w:color="auto"/>
            <w:right w:val="none" w:sz="0" w:space="0" w:color="auto"/>
          </w:divBdr>
        </w:div>
        <w:div w:id="1639993596">
          <w:marLeft w:val="0"/>
          <w:marRight w:val="0"/>
          <w:marTop w:val="0"/>
          <w:marBottom w:val="0"/>
          <w:divBdr>
            <w:top w:val="none" w:sz="0" w:space="0" w:color="auto"/>
            <w:left w:val="none" w:sz="0" w:space="0" w:color="auto"/>
            <w:bottom w:val="none" w:sz="0" w:space="0" w:color="auto"/>
            <w:right w:val="none" w:sz="0" w:space="0" w:color="auto"/>
          </w:divBdr>
        </w:div>
        <w:div w:id="1716852371">
          <w:marLeft w:val="0"/>
          <w:marRight w:val="0"/>
          <w:marTop w:val="0"/>
          <w:marBottom w:val="0"/>
          <w:divBdr>
            <w:top w:val="none" w:sz="0" w:space="0" w:color="auto"/>
            <w:left w:val="none" w:sz="0" w:space="0" w:color="auto"/>
            <w:bottom w:val="none" w:sz="0" w:space="0" w:color="auto"/>
            <w:right w:val="none" w:sz="0" w:space="0" w:color="auto"/>
          </w:divBdr>
        </w:div>
        <w:div w:id="65305766">
          <w:marLeft w:val="0"/>
          <w:marRight w:val="0"/>
          <w:marTop w:val="0"/>
          <w:marBottom w:val="0"/>
          <w:divBdr>
            <w:top w:val="none" w:sz="0" w:space="0" w:color="auto"/>
            <w:left w:val="none" w:sz="0" w:space="0" w:color="auto"/>
            <w:bottom w:val="none" w:sz="0" w:space="0" w:color="auto"/>
            <w:right w:val="none" w:sz="0" w:space="0" w:color="auto"/>
          </w:divBdr>
        </w:div>
        <w:div w:id="1037047533">
          <w:marLeft w:val="0"/>
          <w:marRight w:val="0"/>
          <w:marTop w:val="0"/>
          <w:marBottom w:val="0"/>
          <w:divBdr>
            <w:top w:val="none" w:sz="0" w:space="0" w:color="auto"/>
            <w:left w:val="none" w:sz="0" w:space="0" w:color="auto"/>
            <w:bottom w:val="none" w:sz="0" w:space="0" w:color="auto"/>
            <w:right w:val="none" w:sz="0" w:space="0" w:color="auto"/>
          </w:divBdr>
        </w:div>
        <w:div w:id="2064285644">
          <w:marLeft w:val="0"/>
          <w:marRight w:val="0"/>
          <w:marTop w:val="0"/>
          <w:marBottom w:val="0"/>
          <w:divBdr>
            <w:top w:val="none" w:sz="0" w:space="0" w:color="auto"/>
            <w:left w:val="none" w:sz="0" w:space="0" w:color="auto"/>
            <w:bottom w:val="none" w:sz="0" w:space="0" w:color="auto"/>
            <w:right w:val="none" w:sz="0" w:space="0" w:color="auto"/>
          </w:divBdr>
        </w:div>
        <w:div w:id="1341159852">
          <w:marLeft w:val="0"/>
          <w:marRight w:val="0"/>
          <w:marTop w:val="0"/>
          <w:marBottom w:val="0"/>
          <w:divBdr>
            <w:top w:val="none" w:sz="0" w:space="0" w:color="auto"/>
            <w:left w:val="none" w:sz="0" w:space="0" w:color="auto"/>
            <w:bottom w:val="none" w:sz="0" w:space="0" w:color="auto"/>
            <w:right w:val="none" w:sz="0" w:space="0" w:color="auto"/>
          </w:divBdr>
        </w:div>
        <w:div w:id="1655715142">
          <w:marLeft w:val="0"/>
          <w:marRight w:val="0"/>
          <w:marTop w:val="0"/>
          <w:marBottom w:val="0"/>
          <w:divBdr>
            <w:top w:val="none" w:sz="0" w:space="0" w:color="auto"/>
            <w:left w:val="none" w:sz="0" w:space="0" w:color="auto"/>
            <w:bottom w:val="none" w:sz="0" w:space="0" w:color="auto"/>
            <w:right w:val="none" w:sz="0" w:space="0" w:color="auto"/>
          </w:divBdr>
        </w:div>
        <w:div w:id="1157112202">
          <w:marLeft w:val="0"/>
          <w:marRight w:val="0"/>
          <w:marTop w:val="0"/>
          <w:marBottom w:val="0"/>
          <w:divBdr>
            <w:top w:val="none" w:sz="0" w:space="0" w:color="auto"/>
            <w:left w:val="none" w:sz="0" w:space="0" w:color="auto"/>
            <w:bottom w:val="none" w:sz="0" w:space="0" w:color="auto"/>
            <w:right w:val="none" w:sz="0" w:space="0" w:color="auto"/>
          </w:divBdr>
        </w:div>
        <w:div w:id="564069045">
          <w:marLeft w:val="0"/>
          <w:marRight w:val="0"/>
          <w:marTop w:val="0"/>
          <w:marBottom w:val="0"/>
          <w:divBdr>
            <w:top w:val="none" w:sz="0" w:space="0" w:color="auto"/>
            <w:left w:val="none" w:sz="0" w:space="0" w:color="auto"/>
            <w:bottom w:val="none" w:sz="0" w:space="0" w:color="auto"/>
            <w:right w:val="none" w:sz="0" w:space="0" w:color="auto"/>
          </w:divBdr>
        </w:div>
        <w:div w:id="1658537072">
          <w:marLeft w:val="0"/>
          <w:marRight w:val="0"/>
          <w:marTop w:val="0"/>
          <w:marBottom w:val="0"/>
          <w:divBdr>
            <w:top w:val="none" w:sz="0" w:space="0" w:color="auto"/>
            <w:left w:val="none" w:sz="0" w:space="0" w:color="auto"/>
            <w:bottom w:val="none" w:sz="0" w:space="0" w:color="auto"/>
            <w:right w:val="none" w:sz="0" w:space="0" w:color="auto"/>
          </w:divBdr>
        </w:div>
      </w:divsChild>
    </w:div>
    <w:div w:id="386956561">
      <w:bodyDiv w:val="1"/>
      <w:marLeft w:val="0"/>
      <w:marRight w:val="0"/>
      <w:marTop w:val="0"/>
      <w:marBottom w:val="0"/>
      <w:divBdr>
        <w:top w:val="none" w:sz="0" w:space="0" w:color="auto"/>
        <w:left w:val="none" w:sz="0" w:space="0" w:color="auto"/>
        <w:bottom w:val="none" w:sz="0" w:space="0" w:color="auto"/>
        <w:right w:val="none" w:sz="0" w:space="0" w:color="auto"/>
      </w:divBdr>
    </w:div>
    <w:div w:id="567573293">
      <w:bodyDiv w:val="1"/>
      <w:marLeft w:val="0"/>
      <w:marRight w:val="0"/>
      <w:marTop w:val="0"/>
      <w:marBottom w:val="0"/>
      <w:divBdr>
        <w:top w:val="none" w:sz="0" w:space="0" w:color="auto"/>
        <w:left w:val="none" w:sz="0" w:space="0" w:color="auto"/>
        <w:bottom w:val="none" w:sz="0" w:space="0" w:color="auto"/>
        <w:right w:val="none" w:sz="0" w:space="0" w:color="auto"/>
      </w:divBdr>
    </w:div>
    <w:div w:id="592980875">
      <w:bodyDiv w:val="1"/>
      <w:marLeft w:val="0"/>
      <w:marRight w:val="0"/>
      <w:marTop w:val="0"/>
      <w:marBottom w:val="0"/>
      <w:divBdr>
        <w:top w:val="none" w:sz="0" w:space="0" w:color="auto"/>
        <w:left w:val="none" w:sz="0" w:space="0" w:color="auto"/>
        <w:bottom w:val="none" w:sz="0" w:space="0" w:color="auto"/>
        <w:right w:val="none" w:sz="0" w:space="0" w:color="auto"/>
      </w:divBdr>
    </w:div>
    <w:div w:id="696351190">
      <w:bodyDiv w:val="1"/>
      <w:marLeft w:val="0"/>
      <w:marRight w:val="0"/>
      <w:marTop w:val="0"/>
      <w:marBottom w:val="0"/>
      <w:divBdr>
        <w:top w:val="none" w:sz="0" w:space="0" w:color="auto"/>
        <w:left w:val="none" w:sz="0" w:space="0" w:color="auto"/>
        <w:bottom w:val="none" w:sz="0" w:space="0" w:color="auto"/>
        <w:right w:val="none" w:sz="0" w:space="0" w:color="auto"/>
      </w:divBdr>
    </w:div>
    <w:div w:id="716248640">
      <w:bodyDiv w:val="1"/>
      <w:marLeft w:val="0"/>
      <w:marRight w:val="0"/>
      <w:marTop w:val="0"/>
      <w:marBottom w:val="0"/>
      <w:divBdr>
        <w:top w:val="none" w:sz="0" w:space="0" w:color="auto"/>
        <w:left w:val="none" w:sz="0" w:space="0" w:color="auto"/>
        <w:bottom w:val="none" w:sz="0" w:space="0" w:color="auto"/>
        <w:right w:val="none" w:sz="0" w:space="0" w:color="auto"/>
      </w:divBdr>
    </w:div>
    <w:div w:id="732627926">
      <w:bodyDiv w:val="1"/>
      <w:marLeft w:val="0"/>
      <w:marRight w:val="0"/>
      <w:marTop w:val="0"/>
      <w:marBottom w:val="0"/>
      <w:divBdr>
        <w:top w:val="none" w:sz="0" w:space="0" w:color="auto"/>
        <w:left w:val="none" w:sz="0" w:space="0" w:color="auto"/>
        <w:bottom w:val="none" w:sz="0" w:space="0" w:color="auto"/>
        <w:right w:val="none" w:sz="0" w:space="0" w:color="auto"/>
      </w:divBdr>
    </w:div>
    <w:div w:id="822623506">
      <w:bodyDiv w:val="1"/>
      <w:marLeft w:val="0"/>
      <w:marRight w:val="0"/>
      <w:marTop w:val="0"/>
      <w:marBottom w:val="0"/>
      <w:divBdr>
        <w:top w:val="none" w:sz="0" w:space="0" w:color="auto"/>
        <w:left w:val="none" w:sz="0" w:space="0" w:color="auto"/>
        <w:bottom w:val="none" w:sz="0" w:space="0" w:color="auto"/>
        <w:right w:val="none" w:sz="0" w:space="0" w:color="auto"/>
      </w:divBdr>
    </w:div>
    <w:div w:id="832722935">
      <w:bodyDiv w:val="1"/>
      <w:marLeft w:val="0"/>
      <w:marRight w:val="0"/>
      <w:marTop w:val="0"/>
      <w:marBottom w:val="0"/>
      <w:divBdr>
        <w:top w:val="none" w:sz="0" w:space="0" w:color="auto"/>
        <w:left w:val="none" w:sz="0" w:space="0" w:color="auto"/>
        <w:bottom w:val="none" w:sz="0" w:space="0" w:color="auto"/>
        <w:right w:val="none" w:sz="0" w:space="0" w:color="auto"/>
      </w:divBdr>
    </w:div>
    <w:div w:id="897863611">
      <w:bodyDiv w:val="1"/>
      <w:marLeft w:val="0"/>
      <w:marRight w:val="0"/>
      <w:marTop w:val="0"/>
      <w:marBottom w:val="0"/>
      <w:divBdr>
        <w:top w:val="none" w:sz="0" w:space="0" w:color="auto"/>
        <w:left w:val="none" w:sz="0" w:space="0" w:color="auto"/>
        <w:bottom w:val="none" w:sz="0" w:space="0" w:color="auto"/>
        <w:right w:val="none" w:sz="0" w:space="0" w:color="auto"/>
      </w:divBdr>
    </w:div>
    <w:div w:id="1002581916">
      <w:bodyDiv w:val="1"/>
      <w:marLeft w:val="0"/>
      <w:marRight w:val="0"/>
      <w:marTop w:val="0"/>
      <w:marBottom w:val="0"/>
      <w:divBdr>
        <w:top w:val="none" w:sz="0" w:space="0" w:color="auto"/>
        <w:left w:val="none" w:sz="0" w:space="0" w:color="auto"/>
        <w:bottom w:val="none" w:sz="0" w:space="0" w:color="auto"/>
        <w:right w:val="none" w:sz="0" w:space="0" w:color="auto"/>
      </w:divBdr>
    </w:div>
    <w:div w:id="1160847101">
      <w:bodyDiv w:val="1"/>
      <w:marLeft w:val="0"/>
      <w:marRight w:val="0"/>
      <w:marTop w:val="0"/>
      <w:marBottom w:val="0"/>
      <w:divBdr>
        <w:top w:val="none" w:sz="0" w:space="0" w:color="auto"/>
        <w:left w:val="none" w:sz="0" w:space="0" w:color="auto"/>
        <w:bottom w:val="none" w:sz="0" w:space="0" w:color="auto"/>
        <w:right w:val="none" w:sz="0" w:space="0" w:color="auto"/>
      </w:divBdr>
    </w:div>
    <w:div w:id="1195388729">
      <w:bodyDiv w:val="1"/>
      <w:marLeft w:val="0"/>
      <w:marRight w:val="0"/>
      <w:marTop w:val="0"/>
      <w:marBottom w:val="0"/>
      <w:divBdr>
        <w:top w:val="none" w:sz="0" w:space="0" w:color="auto"/>
        <w:left w:val="none" w:sz="0" w:space="0" w:color="auto"/>
        <w:bottom w:val="none" w:sz="0" w:space="0" w:color="auto"/>
        <w:right w:val="none" w:sz="0" w:space="0" w:color="auto"/>
      </w:divBdr>
    </w:div>
    <w:div w:id="1255935153">
      <w:bodyDiv w:val="1"/>
      <w:marLeft w:val="0"/>
      <w:marRight w:val="0"/>
      <w:marTop w:val="0"/>
      <w:marBottom w:val="0"/>
      <w:divBdr>
        <w:top w:val="none" w:sz="0" w:space="0" w:color="auto"/>
        <w:left w:val="none" w:sz="0" w:space="0" w:color="auto"/>
        <w:bottom w:val="none" w:sz="0" w:space="0" w:color="auto"/>
        <w:right w:val="none" w:sz="0" w:space="0" w:color="auto"/>
      </w:divBdr>
    </w:div>
    <w:div w:id="1311708300">
      <w:bodyDiv w:val="1"/>
      <w:marLeft w:val="0"/>
      <w:marRight w:val="0"/>
      <w:marTop w:val="0"/>
      <w:marBottom w:val="0"/>
      <w:divBdr>
        <w:top w:val="none" w:sz="0" w:space="0" w:color="auto"/>
        <w:left w:val="none" w:sz="0" w:space="0" w:color="auto"/>
        <w:bottom w:val="none" w:sz="0" w:space="0" w:color="auto"/>
        <w:right w:val="none" w:sz="0" w:space="0" w:color="auto"/>
      </w:divBdr>
    </w:div>
    <w:div w:id="1327320669">
      <w:bodyDiv w:val="1"/>
      <w:marLeft w:val="0"/>
      <w:marRight w:val="0"/>
      <w:marTop w:val="0"/>
      <w:marBottom w:val="0"/>
      <w:divBdr>
        <w:top w:val="none" w:sz="0" w:space="0" w:color="auto"/>
        <w:left w:val="none" w:sz="0" w:space="0" w:color="auto"/>
        <w:bottom w:val="none" w:sz="0" w:space="0" w:color="auto"/>
        <w:right w:val="none" w:sz="0" w:space="0" w:color="auto"/>
      </w:divBdr>
    </w:div>
    <w:div w:id="1370257954">
      <w:bodyDiv w:val="1"/>
      <w:marLeft w:val="0"/>
      <w:marRight w:val="0"/>
      <w:marTop w:val="0"/>
      <w:marBottom w:val="0"/>
      <w:divBdr>
        <w:top w:val="none" w:sz="0" w:space="0" w:color="auto"/>
        <w:left w:val="none" w:sz="0" w:space="0" w:color="auto"/>
        <w:bottom w:val="none" w:sz="0" w:space="0" w:color="auto"/>
        <w:right w:val="none" w:sz="0" w:space="0" w:color="auto"/>
      </w:divBdr>
    </w:div>
    <w:div w:id="1458528679">
      <w:bodyDiv w:val="1"/>
      <w:marLeft w:val="0"/>
      <w:marRight w:val="0"/>
      <w:marTop w:val="0"/>
      <w:marBottom w:val="0"/>
      <w:divBdr>
        <w:top w:val="none" w:sz="0" w:space="0" w:color="auto"/>
        <w:left w:val="none" w:sz="0" w:space="0" w:color="auto"/>
        <w:bottom w:val="none" w:sz="0" w:space="0" w:color="auto"/>
        <w:right w:val="none" w:sz="0" w:space="0" w:color="auto"/>
      </w:divBdr>
    </w:div>
    <w:div w:id="1492408744">
      <w:bodyDiv w:val="1"/>
      <w:marLeft w:val="0"/>
      <w:marRight w:val="0"/>
      <w:marTop w:val="0"/>
      <w:marBottom w:val="0"/>
      <w:divBdr>
        <w:top w:val="none" w:sz="0" w:space="0" w:color="auto"/>
        <w:left w:val="none" w:sz="0" w:space="0" w:color="auto"/>
        <w:bottom w:val="none" w:sz="0" w:space="0" w:color="auto"/>
        <w:right w:val="none" w:sz="0" w:space="0" w:color="auto"/>
      </w:divBdr>
      <w:divsChild>
        <w:div w:id="1621298502">
          <w:marLeft w:val="0"/>
          <w:marRight w:val="0"/>
          <w:marTop w:val="0"/>
          <w:marBottom w:val="0"/>
          <w:divBdr>
            <w:top w:val="none" w:sz="0" w:space="0" w:color="auto"/>
            <w:left w:val="none" w:sz="0" w:space="0" w:color="auto"/>
            <w:bottom w:val="none" w:sz="0" w:space="0" w:color="auto"/>
            <w:right w:val="none" w:sz="0" w:space="0" w:color="auto"/>
          </w:divBdr>
        </w:div>
        <w:div w:id="1063677025">
          <w:marLeft w:val="0"/>
          <w:marRight w:val="0"/>
          <w:marTop w:val="0"/>
          <w:marBottom w:val="0"/>
          <w:divBdr>
            <w:top w:val="none" w:sz="0" w:space="0" w:color="auto"/>
            <w:left w:val="none" w:sz="0" w:space="0" w:color="auto"/>
            <w:bottom w:val="none" w:sz="0" w:space="0" w:color="auto"/>
            <w:right w:val="none" w:sz="0" w:space="0" w:color="auto"/>
          </w:divBdr>
        </w:div>
        <w:div w:id="1820221147">
          <w:marLeft w:val="0"/>
          <w:marRight w:val="0"/>
          <w:marTop w:val="0"/>
          <w:marBottom w:val="0"/>
          <w:divBdr>
            <w:top w:val="none" w:sz="0" w:space="0" w:color="auto"/>
            <w:left w:val="none" w:sz="0" w:space="0" w:color="auto"/>
            <w:bottom w:val="none" w:sz="0" w:space="0" w:color="auto"/>
            <w:right w:val="none" w:sz="0" w:space="0" w:color="auto"/>
          </w:divBdr>
        </w:div>
        <w:div w:id="564950855">
          <w:marLeft w:val="0"/>
          <w:marRight w:val="0"/>
          <w:marTop w:val="0"/>
          <w:marBottom w:val="0"/>
          <w:divBdr>
            <w:top w:val="none" w:sz="0" w:space="0" w:color="auto"/>
            <w:left w:val="none" w:sz="0" w:space="0" w:color="auto"/>
            <w:bottom w:val="none" w:sz="0" w:space="0" w:color="auto"/>
            <w:right w:val="none" w:sz="0" w:space="0" w:color="auto"/>
          </w:divBdr>
        </w:div>
        <w:div w:id="883954733">
          <w:marLeft w:val="0"/>
          <w:marRight w:val="0"/>
          <w:marTop w:val="0"/>
          <w:marBottom w:val="0"/>
          <w:divBdr>
            <w:top w:val="none" w:sz="0" w:space="0" w:color="auto"/>
            <w:left w:val="none" w:sz="0" w:space="0" w:color="auto"/>
            <w:bottom w:val="none" w:sz="0" w:space="0" w:color="auto"/>
            <w:right w:val="none" w:sz="0" w:space="0" w:color="auto"/>
          </w:divBdr>
        </w:div>
        <w:div w:id="275454974">
          <w:marLeft w:val="0"/>
          <w:marRight w:val="0"/>
          <w:marTop w:val="0"/>
          <w:marBottom w:val="0"/>
          <w:divBdr>
            <w:top w:val="none" w:sz="0" w:space="0" w:color="auto"/>
            <w:left w:val="none" w:sz="0" w:space="0" w:color="auto"/>
            <w:bottom w:val="none" w:sz="0" w:space="0" w:color="auto"/>
            <w:right w:val="none" w:sz="0" w:space="0" w:color="auto"/>
          </w:divBdr>
        </w:div>
        <w:div w:id="23947039">
          <w:marLeft w:val="0"/>
          <w:marRight w:val="0"/>
          <w:marTop w:val="0"/>
          <w:marBottom w:val="0"/>
          <w:divBdr>
            <w:top w:val="none" w:sz="0" w:space="0" w:color="auto"/>
            <w:left w:val="none" w:sz="0" w:space="0" w:color="auto"/>
            <w:bottom w:val="none" w:sz="0" w:space="0" w:color="auto"/>
            <w:right w:val="none" w:sz="0" w:space="0" w:color="auto"/>
          </w:divBdr>
        </w:div>
        <w:div w:id="1170950874">
          <w:marLeft w:val="0"/>
          <w:marRight w:val="0"/>
          <w:marTop w:val="0"/>
          <w:marBottom w:val="0"/>
          <w:divBdr>
            <w:top w:val="none" w:sz="0" w:space="0" w:color="auto"/>
            <w:left w:val="none" w:sz="0" w:space="0" w:color="auto"/>
            <w:bottom w:val="none" w:sz="0" w:space="0" w:color="auto"/>
            <w:right w:val="none" w:sz="0" w:space="0" w:color="auto"/>
          </w:divBdr>
        </w:div>
        <w:div w:id="732117142">
          <w:marLeft w:val="0"/>
          <w:marRight w:val="0"/>
          <w:marTop w:val="0"/>
          <w:marBottom w:val="0"/>
          <w:divBdr>
            <w:top w:val="none" w:sz="0" w:space="0" w:color="auto"/>
            <w:left w:val="none" w:sz="0" w:space="0" w:color="auto"/>
            <w:bottom w:val="none" w:sz="0" w:space="0" w:color="auto"/>
            <w:right w:val="none" w:sz="0" w:space="0" w:color="auto"/>
          </w:divBdr>
        </w:div>
        <w:div w:id="1976832647">
          <w:marLeft w:val="0"/>
          <w:marRight w:val="0"/>
          <w:marTop w:val="0"/>
          <w:marBottom w:val="0"/>
          <w:divBdr>
            <w:top w:val="none" w:sz="0" w:space="0" w:color="auto"/>
            <w:left w:val="none" w:sz="0" w:space="0" w:color="auto"/>
            <w:bottom w:val="none" w:sz="0" w:space="0" w:color="auto"/>
            <w:right w:val="none" w:sz="0" w:space="0" w:color="auto"/>
          </w:divBdr>
        </w:div>
        <w:div w:id="673260716">
          <w:marLeft w:val="0"/>
          <w:marRight w:val="0"/>
          <w:marTop w:val="0"/>
          <w:marBottom w:val="0"/>
          <w:divBdr>
            <w:top w:val="none" w:sz="0" w:space="0" w:color="auto"/>
            <w:left w:val="none" w:sz="0" w:space="0" w:color="auto"/>
            <w:bottom w:val="none" w:sz="0" w:space="0" w:color="auto"/>
            <w:right w:val="none" w:sz="0" w:space="0" w:color="auto"/>
          </w:divBdr>
        </w:div>
        <w:div w:id="701397993">
          <w:marLeft w:val="0"/>
          <w:marRight w:val="0"/>
          <w:marTop w:val="0"/>
          <w:marBottom w:val="0"/>
          <w:divBdr>
            <w:top w:val="none" w:sz="0" w:space="0" w:color="auto"/>
            <w:left w:val="none" w:sz="0" w:space="0" w:color="auto"/>
            <w:bottom w:val="none" w:sz="0" w:space="0" w:color="auto"/>
            <w:right w:val="none" w:sz="0" w:space="0" w:color="auto"/>
          </w:divBdr>
        </w:div>
        <w:div w:id="520584625">
          <w:marLeft w:val="0"/>
          <w:marRight w:val="0"/>
          <w:marTop w:val="0"/>
          <w:marBottom w:val="0"/>
          <w:divBdr>
            <w:top w:val="none" w:sz="0" w:space="0" w:color="auto"/>
            <w:left w:val="none" w:sz="0" w:space="0" w:color="auto"/>
            <w:bottom w:val="none" w:sz="0" w:space="0" w:color="auto"/>
            <w:right w:val="none" w:sz="0" w:space="0" w:color="auto"/>
          </w:divBdr>
        </w:div>
        <w:div w:id="135464052">
          <w:marLeft w:val="0"/>
          <w:marRight w:val="0"/>
          <w:marTop w:val="0"/>
          <w:marBottom w:val="0"/>
          <w:divBdr>
            <w:top w:val="none" w:sz="0" w:space="0" w:color="auto"/>
            <w:left w:val="none" w:sz="0" w:space="0" w:color="auto"/>
            <w:bottom w:val="none" w:sz="0" w:space="0" w:color="auto"/>
            <w:right w:val="none" w:sz="0" w:space="0" w:color="auto"/>
          </w:divBdr>
        </w:div>
        <w:div w:id="2076927609">
          <w:marLeft w:val="0"/>
          <w:marRight w:val="0"/>
          <w:marTop w:val="0"/>
          <w:marBottom w:val="0"/>
          <w:divBdr>
            <w:top w:val="none" w:sz="0" w:space="0" w:color="auto"/>
            <w:left w:val="none" w:sz="0" w:space="0" w:color="auto"/>
            <w:bottom w:val="none" w:sz="0" w:space="0" w:color="auto"/>
            <w:right w:val="none" w:sz="0" w:space="0" w:color="auto"/>
          </w:divBdr>
        </w:div>
        <w:div w:id="1156799286">
          <w:marLeft w:val="0"/>
          <w:marRight w:val="0"/>
          <w:marTop w:val="0"/>
          <w:marBottom w:val="0"/>
          <w:divBdr>
            <w:top w:val="none" w:sz="0" w:space="0" w:color="auto"/>
            <w:left w:val="none" w:sz="0" w:space="0" w:color="auto"/>
            <w:bottom w:val="none" w:sz="0" w:space="0" w:color="auto"/>
            <w:right w:val="none" w:sz="0" w:space="0" w:color="auto"/>
          </w:divBdr>
        </w:div>
      </w:divsChild>
    </w:div>
    <w:div w:id="1536238249">
      <w:bodyDiv w:val="1"/>
      <w:marLeft w:val="0"/>
      <w:marRight w:val="0"/>
      <w:marTop w:val="0"/>
      <w:marBottom w:val="0"/>
      <w:divBdr>
        <w:top w:val="none" w:sz="0" w:space="0" w:color="auto"/>
        <w:left w:val="none" w:sz="0" w:space="0" w:color="auto"/>
        <w:bottom w:val="none" w:sz="0" w:space="0" w:color="auto"/>
        <w:right w:val="none" w:sz="0" w:space="0" w:color="auto"/>
      </w:divBdr>
    </w:div>
    <w:div w:id="1761022943">
      <w:bodyDiv w:val="1"/>
      <w:marLeft w:val="0"/>
      <w:marRight w:val="0"/>
      <w:marTop w:val="0"/>
      <w:marBottom w:val="0"/>
      <w:divBdr>
        <w:top w:val="none" w:sz="0" w:space="0" w:color="auto"/>
        <w:left w:val="none" w:sz="0" w:space="0" w:color="auto"/>
        <w:bottom w:val="none" w:sz="0" w:space="0" w:color="auto"/>
        <w:right w:val="none" w:sz="0" w:space="0" w:color="auto"/>
      </w:divBdr>
    </w:div>
    <w:div w:id="1872261564">
      <w:bodyDiv w:val="1"/>
      <w:marLeft w:val="0"/>
      <w:marRight w:val="0"/>
      <w:marTop w:val="0"/>
      <w:marBottom w:val="0"/>
      <w:divBdr>
        <w:top w:val="none" w:sz="0" w:space="0" w:color="auto"/>
        <w:left w:val="none" w:sz="0" w:space="0" w:color="auto"/>
        <w:bottom w:val="none" w:sz="0" w:space="0" w:color="auto"/>
        <w:right w:val="none" w:sz="0" w:space="0" w:color="auto"/>
      </w:divBdr>
    </w:div>
    <w:div w:id="1882282782">
      <w:bodyDiv w:val="1"/>
      <w:marLeft w:val="0"/>
      <w:marRight w:val="0"/>
      <w:marTop w:val="0"/>
      <w:marBottom w:val="0"/>
      <w:divBdr>
        <w:top w:val="none" w:sz="0" w:space="0" w:color="auto"/>
        <w:left w:val="none" w:sz="0" w:space="0" w:color="auto"/>
        <w:bottom w:val="none" w:sz="0" w:space="0" w:color="auto"/>
        <w:right w:val="none" w:sz="0" w:space="0" w:color="auto"/>
      </w:divBdr>
    </w:div>
    <w:div w:id="2039040209">
      <w:bodyDiv w:val="1"/>
      <w:marLeft w:val="0"/>
      <w:marRight w:val="0"/>
      <w:marTop w:val="0"/>
      <w:marBottom w:val="0"/>
      <w:divBdr>
        <w:top w:val="none" w:sz="0" w:space="0" w:color="auto"/>
        <w:left w:val="none" w:sz="0" w:space="0" w:color="auto"/>
        <w:bottom w:val="none" w:sz="0" w:space="0" w:color="auto"/>
        <w:right w:val="none" w:sz="0" w:space="0" w:color="auto"/>
      </w:divBdr>
    </w:div>
    <w:div w:id="2095472073">
      <w:bodyDiv w:val="1"/>
      <w:marLeft w:val="0"/>
      <w:marRight w:val="0"/>
      <w:marTop w:val="0"/>
      <w:marBottom w:val="0"/>
      <w:divBdr>
        <w:top w:val="none" w:sz="0" w:space="0" w:color="auto"/>
        <w:left w:val="none" w:sz="0" w:space="0" w:color="auto"/>
        <w:bottom w:val="none" w:sz="0" w:space="0" w:color="auto"/>
        <w:right w:val="none" w:sz="0" w:space="0" w:color="auto"/>
      </w:divBdr>
    </w:div>
    <w:div w:id="210665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21" Type="http://schemas.openxmlformats.org/officeDocument/2006/relationships/hyperlink" Target="https://www.naa.gov.au/" TargetMode="Externa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s://www.naa.gov.au/information-management/agency-service-centre" TargetMode="External"/><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naa.gov.au/information-management/records-authorities/types-records-authorities/general-records-authority-31" TargetMode="External"/><Relationship Id="rId29"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a.gov.au/" TargetMode="External"/><Relationship Id="rId24" Type="http://schemas.openxmlformats.org/officeDocument/2006/relationships/header" Target="header4.xml"/><Relationship Id="rId32" Type="http://schemas.microsoft.com/office/2018/08/relationships/commentsExtensible" Target="commentsExtensible.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naa.gov.au/information-management/agency-service-centre" TargetMode="External"/><Relationship Id="rId28" Type="http://schemas.openxmlformats.org/officeDocument/2006/relationships/hyperlink" Target="https://www.grants.gov.au/" TargetMode="External"/><Relationship Id="rId36" Type="http://schemas.openxmlformats.org/officeDocument/2006/relationships/fontTable" Target="fontTable.xml"/><Relationship Id="rId10" Type="http://schemas.openxmlformats.org/officeDocument/2006/relationships/hyperlink" Target="http://www.creativecommons.org" TargetMode="External"/><Relationship Id="rId19" Type="http://schemas.openxmlformats.org/officeDocument/2006/relationships/hyperlink" Target="https://www.naa.gov.au/information-management/records-authorities/types-records-authorities/afda-express-version-2-functions"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https://www.naa.gov.au/" TargetMode="External"/><Relationship Id="rId27" Type="http://schemas.openxmlformats.org/officeDocument/2006/relationships/header" Target="header6.xml"/><Relationship Id="rId30" Type="http://schemas.microsoft.com/office/2011/relationships/commentsExtended" Target="commentsExtended.xml"/><Relationship Id="rId35" Type="http://schemas.openxmlformats.org/officeDocument/2006/relationships/header" Target="header9.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26459-DF8C-4CBB-B50E-D0183AEF1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2737</Words>
  <Characters>15601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National Archives of Australia</Company>
  <LinksUpToDate>false</LinksUpToDate>
  <CharactersWithSpaces>18302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Kaufhold</dc:creator>
  <cp:keywords/>
  <dc:description/>
  <cp:lastModifiedBy>Chris Downton</cp:lastModifiedBy>
  <cp:revision>3</cp:revision>
  <cp:lastPrinted>2021-07-05T00:05:00Z</cp:lastPrinted>
  <dcterms:created xsi:type="dcterms:W3CDTF">2025-06-23T01:54:00Z</dcterms:created>
  <dcterms:modified xsi:type="dcterms:W3CDTF">2025-06-23T01:54:00Z</dcterms:modified>
</cp:coreProperties>
</file>