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B70" w:rsidRDefault="00601B70" w:rsidP="00601B70">
      <w:r>
        <w:rPr>
          <w:noProof/>
          <w:lang w:eastAsia="en-AU"/>
        </w:rPr>
        <w:drawing>
          <wp:anchor distT="0" distB="0" distL="114300" distR="114300" simplePos="0" relativeHeight="251659264" behindDoc="0" locked="0" layoutInCell="1" allowOverlap="1" wp14:anchorId="7A5B5462" wp14:editId="18200C58">
            <wp:simplePos x="0" y="0"/>
            <wp:positionH relativeFrom="margin">
              <wp:posOffset>-339725</wp:posOffset>
            </wp:positionH>
            <wp:positionV relativeFrom="paragraph">
              <wp:posOffset>-600075</wp:posOffset>
            </wp:positionV>
            <wp:extent cx="7118350" cy="1006919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0" cy="1006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A60" w:rsidRDefault="00601B70" w:rsidP="00601B70">
      <w:pPr>
        <w:spacing w:after="320"/>
        <w:rPr>
          <w:rFonts w:ascii="Arial Black" w:hAnsi="Arial Black"/>
          <w:caps/>
          <w:sz w:val="24"/>
        </w:rPr>
      </w:pPr>
      <w:r>
        <w:rPr>
          <w:noProof/>
          <w:lang w:eastAsia="en-AU"/>
        </w:rPr>
        <mc:AlternateContent>
          <mc:Choice Requires="wps">
            <w:drawing>
              <wp:anchor distT="0" distB="0" distL="114300" distR="114300" simplePos="0" relativeHeight="251660288" behindDoc="0" locked="0" layoutInCell="1" allowOverlap="1" wp14:editId="227DFEB0">
                <wp:simplePos x="0" y="0"/>
                <wp:positionH relativeFrom="column">
                  <wp:posOffset>830580</wp:posOffset>
                </wp:positionH>
                <wp:positionV relativeFrom="paragraph">
                  <wp:posOffset>2891155</wp:posOffset>
                </wp:positionV>
                <wp:extent cx="5589270" cy="1885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885950"/>
                        </a:xfrm>
                        <a:prstGeom prst="rect">
                          <a:avLst/>
                        </a:prstGeom>
                        <a:noFill/>
                        <a:ln w="9525">
                          <a:noFill/>
                          <a:miter lim="800000"/>
                          <a:headEnd/>
                          <a:tailEnd/>
                        </a:ln>
                      </wps:spPr>
                      <wps:txbx>
                        <w:txbxContent>
                          <w:p w:rsidR="00601B70" w:rsidRPr="00601B70" w:rsidRDefault="00601B70" w:rsidP="00601B70">
                            <w:pPr>
                              <w:pStyle w:val="Title"/>
                              <w:jc w:val="right"/>
                              <w:rPr>
                                <w:rFonts w:ascii="Arial" w:hAnsi="Arial" w:cs="Arial"/>
                                <w:b/>
                                <w:sz w:val="60"/>
                                <w:szCs w:val="60"/>
                              </w:rPr>
                            </w:pPr>
                            <w:r w:rsidRPr="00601B70">
                              <w:rPr>
                                <w:rFonts w:ascii="Arial" w:hAnsi="Arial" w:cs="Arial"/>
                                <w:b/>
                                <w:sz w:val="60"/>
                                <w:szCs w:val="60"/>
                              </w:rPr>
                              <w:t>Distributed Custody Policy</w:t>
                            </w:r>
                          </w:p>
                          <w:p w:rsidR="00601B70" w:rsidRPr="00EE59DC" w:rsidRDefault="00601B70" w:rsidP="00601B70">
                            <w:pPr>
                              <w:pStyle w:val="NAAAuthor"/>
                              <w:rPr>
                                <w:color w:val="auto"/>
                              </w:rPr>
                            </w:pPr>
                            <w:r w:rsidRPr="00CD744B">
                              <w:rPr>
                                <w:color w:val="auto"/>
                              </w:rPr>
                              <w:t>National Archives of Australia</w:t>
                            </w:r>
                          </w:p>
                          <w:p w:rsidR="00601B70" w:rsidRPr="00EE59DC" w:rsidRDefault="00601B70" w:rsidP="00601B70">
                            <w:pPr>
                              <w:pStyle w:val="NAAAuthor"/>
                              <w:rPr>
                                <w:color w:val="auto"/>
                              </w:rPr>
                            </w:pPr>
                          </w:p>
                          <w:p w:rsidR="00601B70" w:rsidRPr="00EE59DC" w:rsidRDefault="00601B70" w:rsidP="00601B70">
                            <w:pPr>
                              <w:pStyle w:val="NAADate"/>
                              <w:rPr>
                                <w:color w:val="auto"/>
                                <w:sz w:val="40"/>
                                <w:szCs w:val="40"/>
                              </w:rPr>
                            </w:pPr>
                            <w:r>
                              <w:rPr>
                                <w:color w:val="auto"/>
                              </w:rPr>
                              <w:t>V 1.0</w:t>
                            </w:r>
                          </w:p>
                          <w:p w:rsidR="00601B70" w:rsidRPr="00EE59DC" w:rsidRDefault="00601B70" w:rsidP="00601B70">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4pt;margin-top:227.65pt;width:440.1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" filled="f" stroked="f">
                <v:textbox>
                  <w:txbxContent>
                    <w:p w:rsidR="00601B70" w:rsidRPr="00601B70" w:rsidRDefault="00601B70" w:rsidP="00601B70">
                      <w:pPr>
                        <w:pStyle w:val="Title"/>
                        <w:jc w:val="right"/>
                        <w:rPr>
                          <w:rFonts w:ascii="Arial" w:hAnsi="Arial" w:cs="Arial"/>
                          <w:b/>
                          <w:sz w:val="60"/>
                          <w:szCs w:val="60"/>
                        </w:rPr>
                      </w:pPr>
                      <w:r w:rsidRPr="00601B70">
                        <w:rPr>
                          <w:rFonts w:ascii="Arial" w:hAnsi="Arial" w:cs="Arial"/>
                          <w:b/>
                          <w:sz w:val="60"/>
                          <w:szCs w:val="60"/>
                        </w:rPr>
                        <w:t>Distributed Custody Policy</w:t>
                      </w:r>
                    </w:p>
                    <w:p w:rsidR="00601B70" w:rsidRPr="00EE59DC" w:rsidRDefault="00601B70" w:rsidP="00601B70">
                      <w:pPr>
                        <w:pStyle w:val="NAAAuthor"/>
                        <w:rPr>
                          <w:color w:val="auto"/>
                        </w:rPr>
                      </w:pPr>
                      <w:r w:rsidRPr="00CD744B">
                        <w:rPr>
                          <w:color w:val="auto"/>
                        </w:rPr>
                        <w:t>National Archives of Australia</w:t>
                      </w:r>
                    </w:p>
                    <w:p w:rsidR="00601B70" w:rsidRPr="00EE59DC" w:rsidRDefault="00601B70" w:rsidP="00601B70">
                      <w:pPr>
                        <w:pStyle w:val="NAAAuthor"/>
                        <w:rPr>
                          <w:color w:val="auto"/>
                        </w:rPr>
                      </w:pPr>
                    </w:p>
                    <w:p w:rsidR="00601B70" w:rsidRPr="00EE59DC" w:rsidRDefault="00601B70" w:rsidP="00601B70">
                      <w:pPr>
                        <w:pStyle w:val="NAADate"/>
                        <w:rPr>
                          <w:color w:val="auto"/>
                          <w:sz w:val="40"/>
                          <w:szCs w:val="40"/>
                        </w:rPr>
                      </w:pPr>
                      <w:r>
                        <w:rPr>
                          <w:color w:val="auto"/>
                        </w:rPr>
                        <w:t>V 1.0</w:t>
                      </w:r>
                    </w:p>
                    <w:p w:rsidR="00601B70" w:rsidRPr="00EE59DC" w:rsidRDefault="00601B70" w:rsidP="00601B70">
                      <w:pPr>
                        <w:jc w:val="right"/>
                      </w:pPr>
                    </w:p>
                  </w:txbxContent>
                </v:textbox>
              </v:shape>
            </w:pict>
          </mc:Fallback>
        </mc:AlternateContent>
      </w:r>
      <w:r>
        <w:br w:type="page"/>
      </w:r>
      <w:r w:rsidR="002E7A60">
        <w:rPr>
          <w:rFonts w:ascii="Arial Black" w:hAnsi="Arial Black"/>
          <w:caps/>
          <w:sz w:val="24"/>
        </w:rPr>
        <w:lastRenderedPageBreak/>
        <w:t>Document Control</w:t>
      </w:r>
      <w:r w:rsidR="000D1D62">
        <w:rPr>
          <w:rFonts w:ascii="Arial Black" w:hAnsi="Arial Black"/>
          <w:caps/>
          <w:sz w:val="24"/>
        </w:rPr>
        <w:t xml:space="preserve"> Principles</w:t>
      </w:r>
      <w:bookmarkStart w:id="0" w:name="_GoBack"/>
      <w:bookmarkEnd w:id="0"/>
    </w:p>
    <w:tbl>
      <w:tblPr>
        <w:tblW w:w="0" w:type="auto"/>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6" w:type="dxa"/>
          <w:right w:w="56" w:type="dxa"/>
        </w:tblCellMar>
        <w:tblLook w:val="0000" w:firstRow="0" w:lastRow="0" w:firstColumn="0" w:lastColumn="0" w:noHBand="0" w:noVBand="0"/>
      </w:tblPr>
      <w:tblGrid>
        <w:gridCol w:w="2819"/>
        <w:gridCol w:w="5267"/>
      </w:tblGrid>
      <w:tr w:rsidR="00B2578A" w:rsidRPr="00BB2F3D" w:rsidTr="004469E6">
        <w:trPr>
          <w:cantSplit/>
        </w:trPr>
        <w:tc>
          <w:tcPr>
            <w:tcW w:w="2819" w:type="dxa"/>
            <w:tcBorders>
              <w:top w:val="single" w:sz="4" w:space="0" w:color="auto"/>
              <w:left w:val="single" w:sz="4" w:space="0" w:color="FFFFFF"/>
              <w:bottom w:val="single" w:sz="4" w:space="0" w:color="auto"/>
              <w:right w:val="single" w:sz="4" w:space="0" w:color="FFFFFF"/>
            </w:tcBorders>
          </w:tcPr>
          <w:p w:rsidR="00B2578A" w:rsidRPr="00BB2F3D" w:rsidRDefault="00B2578A" w:rsidP="00C17873">
            <w:pPr>
              <w:spacing w:before="60" w:after="60" w:line="220" w:lineRule="atLeast"/>
              <w:ind w:left="-57"/>
              <w:rPr>
                <w:b/>
                <w:sz w:val="18"/>
              </w:rPr>
            </w:pPr>
            <w:r w:rsidRPr="00BB2F3D">
              <w:rPr>
                <w:b/>
              </w:rPr>
              <w:t xml:space="preserve">Title of </w:t>
            </w:r>
            <w:r w:rsidR="00C17873">
              <w:rPr>
                <w:b/>
              </w:rPr>
              <w:t>Document</w:t>
            </w:r>
          </w:p>
        </w:tc>
        <w:tc>
          <w:tcPr>
            <w:tcW w:w="5267" w:type="dxa"/>
            <w:tcBorders>
              <w:top w:val="single" w:sz="4" w:space="0" w:color="auto"/>
              <w:left w:val="single" w:sz="4" w:space="0" w:color="FFFFFF"/>
              <w:bottom w:val="single" w:sz="4" w:space="0" w:color="auto"/>
              <w:right w:val="single" w:sz="4" w:space="0" w:color="FFFFFF"/>
            </w:tcBorders>
          </w:tcPr>
          <w:p w:rsidR="00B2578A" w:rsidRPr="00BB2F3D" w:rsidRDefault="003763FB" w:rsidP="00AC1AEC">
            <w:pPr>
              <w:spacing w:before="60" w:after="60" w:line="220" w:lineRule="atLeast"/>
              <w:rPr>
                <w:b/>
                <w:sz w:val="18"/>
              </w:rPr>
            </w:pPr>
            <w:r>
              <w:rPr>
                <w:b/>
              </w:rPr>
              <w:t>Distributed Custody Policy</w:t>
            </w:r>
          </w:p>
        </w:tc>
      </w:tr>
      <w:tr w:rsidR="00B2578A" w:rsidRPr="003763FB" w:rsidTr="004469E6">
        <w:trPr>
          <w:cantSplit/>
        </w:trPr>
        <w:tc>
          <w:tcPr>
            <w:tcW w:w="2819" w:type="dxa"/>
            <w:tcBorders>
              <w:top w:val="single" w:sz="4" w:space="0" w:color="auto"/>
            </w:tcBorders>
          </w:tcPr>
          <w:p w:rsidR="00B2578A" w:rsidRPr="003763FB" w:rsidRDefault="00B2578A" w:rsidP="00AC1AEC">
            <w:pPr>
              <w:spacing w:before="60" w:after="60" w:line="220" w:lineRule="atLeast"/>
              <w:ind w:left="-57"/>
            </w:pPr>
            <w:r w:rsidRPr="003763FB">
              <w:t>Version</w:t>
            </w:r>
          </w:p>
        </w:tc>
        <w:tc>
          <w:tcPr>
            <w:tcW w:w="5267" w:type="dxa"/>
            <w:tcBorders>
              <w:top w:val="single" w:sz="4" w:space="0" w:color="auto"/>
            </w:tcBorders>
          </w:tcPr>
          <w:p w:rsidR="00B2578A" w:rsidRPr="003763FB" w:rsidRDefault="00694DB4" w:rsidP="00AC1AEC">
            <w:pPr>
              <w:spacing w:before="60" w:after="60" w:line="220" w:lineRule="atLeast"/>
            </w:pPr>
            <w:r w:rsidRPr="003763FB">
              <w:t>1</w:t>
            </w:r>
          </w:p>
        </w:tc>
      </w:tr>
      <w:tr w:rsidR="00B2578A" w:rsidRPr="003763FB" w:rsidTr="004469E6">
        <w:trPr>
          <w:cantSplit/>
        </w:trPr>
        <w:tc>
          <w:tcPr>
            <w:tcW w:w="2819" w:type="dxa"/>
          </w:tcPr>
          <w:p w:rsidR="00B2578A" w:rsidRPr="003763FB" w:rsidRDefault="00B2578A" w:rsidP="00AC1AEC">
            <w:pPr>
              <w:spacing w:before="60" w:after="60" w:line="220" w:lineRule="atLeast"/>
              <w:ind w:left="-57"/>
              <w:rPr>
                <w:sz w:val="18"/>
              </w:rPr>
            </w:pPr>
            <w:r w:rsidRPr="003763FB">
              <w:t>Author</w:t>
            </w:r>
          </w:p>
        </w:tc>
        <w:tc>
          <w:tcPr>
            <w:tcW w:w="5267" w:type="dxa"/>
          </w:tcPr>
          <w:p w:rsidR="00B2578A" w:rsidRPr="003763FB" w:rsidRDefault="00694DB4" w:rsidP="003763FB">
            <w:pPr>
              <w:spacing w:before="60" w:after="60" w:line="220" w:lineRule="atLeast"/>
              <w:rPr>
                <w:sz w:val="18"/>
              </w:rPr>
            </w:pPr>
            <w:r w:rsidRPr="003763FB">
              <w:t xml:space="preserve">Strategic Initiatives </w:t>
            </w:r>
            <w:r w:rsidR="00915720" w:rsidRPr="003763FB">
              <w:t xml:space="preserve">and </w:t>
            </w:r>
            <w:r w:rsidRPr="003763FB">
              <w:t>Polic</w:t>
            </w:r>
            <w:r w:rsidR="003763FB" w:rsidRPr="003763FB">
              <w:t>y</w:t>
            </w:r>
          </w:p>
        </w:tc>
      </w:tr>
      <w:tr w:rsidR="00B2578A" w:rsidRPr="003763FB" w:rsidTr="004469E6">
        <w:trPr>
          <w:cantSplit/>
        </w:trPr>
        <w:tc>
          <w:tcPr>
            <w:tcW w:w="2819" w:type="dxa"/>
          </w:tcPr>
          <w:p w:rsidR="00B2578A" w:rsidRPr="003763FB" w:rsidRDefault="00B2578A" w:rsidP="00AC1AEC">
            <w:pPr>
              <w:spacing w:before="60" w:after="60" w:line="220" w:lineRule="atLeast"/>
              <w:ind w:left="-57"/>
            </w:pPr>
            <w:r w:rsidRPr="003763FB">
              <w:t>Document status</w:t>
            </w:r>
          </w:p>
        </w:tc>
        <w:tc>
          <w:tcPr>
            <w:tcW w:w="5267" w:type="dxa"/>
          </w:tcPr>
          <w:p w:rsidR="00B2578A" w:rsidRPr="003763FB" w:rsidRDefault="001376C9" w:rsidP="00F012BD">
            <w:pPr>
              <w:pStyle w:val="Text"/>
              <w:spacing w:after="120"/>
              <w:ind w:right="845"/>
            </w:pPr>
            <w:r w:rsidRPr="003763FB">
              <w:t>Final</w:t>
            </w:r>
            <w:r w:rsidR="003763FB" w:rsidRPr="003763FB">
              <w:t xml:space="preserve"> approved</w:t>
            </w:r>
          </w:p>
        </w:tc>
      </w:tr>
      <w:tr w:rsidR="00B2578A" w:rsidRPr="003763FB" w:rsidTr="004469E6">
        <w:trPr>
          <w:cantSplit/>
        </w:trPr>
        <w:tc>
          <w:tcPr>
            <w:tcW w:w="2819" w:type="dxa"/>
          </w:tcPr>
          <w:p w:rsidR="00B2578A" w:rsidRPr="003763FB" w:rsidRDefault="00B2578A" w:rsidP="00AC1AEC">
            <w:pPr>
              <w:spacing w:before="60" w:after="60" w:line="220" w:lineRule="atLeast"/>
              <w:ind w:left="-57"/>
            </w:pPr>
            <w:r w:rsidRPr="003763FB">
              <w:t>Approval details</w:t>
            </w:r>
          </w:p>
        </w:tc>
        <w:tc>
          <w:tcPr>
            <w:tcW w:w="5267" w:type="dxa"/>
          </w:tcPr>
          <w:p w:rsidR="00B2578A" w:rsidRPr="003763FB" w:rsidRDefault="003763FB" w:rsidP="00694DB4">
            <w:pPr>
              <w:pStyle w:val="Text"/>
              <w:spacing w:after="120"/>
              <w:ind w:right="845"/>
            </w:pPr>
            <w:r w:rsidRPr="003763FB">
              <w:t>Executive Board, August 2015</w:t>
            </w:r>
          </w:p>
        </w:tc>
      </w:tr>
      <w:tr w:rsidR="00B2578A" w:rsidRPr="003763FB" w:rsidTr="004469E6">
        <w:trPr>
          <w:cantSplit/>
        </w:trPr>
        <w:tc>
          <w:tcPr>
            <w:tcW w:w="2819" w:type="dxa"/>
          </w:tcPr>
          <w:p w:rsidR="00B2578A" w:rsidRPr="003763FB" w:rsidRDefault="00B2578A" w:rsidP="00C17873">
            <w:pPr>
              <w:spacing w:before="60" w:after="60" w:line="220" w:lineRule="atLeast"/>
              <w:ind w:left="-57"/>
            </w:pPr>
            <w:r w:rsidRPr="003763FB">
              <w:t xml:space="preserve"> </w:t>
            </w:r>
            <w:r w:rsidR="00C17873" w:rsidRPr="003763FB">
              <w:t>Custodian</w:t>
            </w:r>
          </w:p>
        </w:tc>
        <w:tc>
          <w:tcPr>
            <w:tcW w:w="5267" w:type="dxa"/>
          </w:tcPr>
          <w:p w:rsidR="00B2578A" w:rsidRPr="003763FB" w:rsidRDefault="00F02CE2" w:rsidP="00915720">
            <w:pPr>
              <w:pStyle w:val="Text"/>
              <w:spacing w:after="120"/>
              <w:ind w:right="845"/>
            </w:pPr>
            <w:r w:rsidRPr="003763FB">
              <w:t xml:space="preserve">Strategic Initiatives </w:t>
            </w:r>
            <w:r w:rsidR="00915720" w:rsidRPr="003763FB">
              <w:t xml:space="preserve">and </w:t>
            </w:r>
            <w:r w:rsidRPr="003763FB">
              <w:t xml:space="preserve">Policy </w:t>
            </w:r>
            <w:r w:rsidR="002379E3" w:rsidRPr="003763FB">
              <w:t>Section</w:t>
            </w:r>
            <w:r w:rsidRPr="003763FB">
              <w:t>, Government Information Assurance and Policy Branch</w:t>
            </w:r>
            <w:r w:rsidR="00B2578A" w:rsidRPr="003763FB">
              <w:t xml:space="preserve"> </w:t>
            </w:r>
          </w:p>
        </w:tc>
      </w:tr>
      <w:tr w:rsidR="00B2578A" w:rsidRPr="003763FB" w:rsidTr="004469E6">
        <w:trPr>
          <w:cantSplit/>
        </w:trPr>
        <w:tc>
          <w:tcPr>
            <w:tcW w:w="2819" w:type="dxa"/>
          </w:tcPr>
          <w:p w:rsidR="00B2578A" w:rsidRPr="003763FB" w:rsidRDefault="00B2578A" w:rsidP="00AC1AEC">
            <w:pPr>
              <w:spacing w:before="60" w:after="60" w:line="220" w:lineRule="atLeast"/>
              <w:ind w:left="-57"/>
            </w:pPr>
            <w:r w:rsidRPr="003763FB">
              <w:t xml:space="preserve"> Proposed review date</w:t>
            </w:r>
          </w:p>
        </w:tc>
        <w:tc>
          <w:tcPr>
            <w:tcW w:w="5267" w:type="dxa"/>
          </w:tcPr>
          <w:p w:rsidR="00B2578A" w:rsidRPr="003763FB" w:rsidRDefault="001376C9" w:rsidP="003763FB">
            <w:pPr>
              <w:pStyle w:val="Text"/>
              <w:spacing w:after="120"/>
              <w:ind w:right="845"/>
            </w:pPr>
            <w:r w:rsidRPr="003763FB">
              <w:t>August</w:t>
            </w:r>
            <w:r w:rsidR="00F02CE2" w:rsidRPr="003763FB">
              <w:t xml:space="preserve"> 201</w:t>
            </w:r>
            <w:r w:rsidR="00E071A0" w:rsidRPr="003763FB">
              <w:t>8</w:t>
            </w:r>
          </w:p>
        </w:tc>
      </w:tr>
      <w:tr w:rsidR="00B2578A" w:rsidRPr="003763FB" w:rsidTr="004469E6">
        <w:trPr>
          <w:cantSplit/>
        </w:trPr>
        <w:tc>
          <w:tcPr>
            <w:tcW w:w="2819" w:type="dxa"/>
          </w:tcPr>
          <w:p w:rsidR="00B2578A" w:rsidRPr="003763FB" w:rsidRDefault="00B2578A" w:rsidP="00AC1AEC">
            <w:pPr>
              <w:spacing w:before="60" w:after="60" w:line="220" w:lineRule="atLeast"/>
              <w:ind w:left="-57"/>
            </w:pPr>
            <w:r w:rsidRPr="003763FB">
              <w:t xml:space="preserve"> RkS reference</w:t>
            </w:r>
          </w:p>
        </w:tc>
        <w:tc>
          <w:tcPr>
            <w:tcW w:w="5267" w:type="dxa"/>
          </w:tcPr>
          <w:p w:rsidR="00B2578A" w:rsidRPr="003763FB" w:rsidRDefault="001057D9" w:rsidP="003763FB">
            <w:r w:rsidRPr="003763FB">
              <w:t>This</w:t>
            </w:r>
            <w:r w:rsidR="002379E3" w:rsidRPr="003763FB">
              <w:t xml:space="preserve"> document is stored in the National Archives of Australia Record Keeping System </w:t>
            </w:r>
            <w:r w:rsidR="003763FB" w:rsidRPr="003763FB">
              <w:t>in</w:t>
            </w:r>
            <w:r w:rsidR="002379E3" w:rsidRPr="003763FB">
              <w:t xml:space="preserve"> file 20</w:t>
            </w:r>
            <w:r w:rsidR="00AC0343" w:rsidRPr="003763FB">
              <w:t>14/2766</w:t>
            </w:r>
            <w:r w:rsidR="003763FB" w:rsidRPr="003763FB">
              <w:t xml:space="preserve"> as R1533392015.</w:t>
            </w:r>
            <w:r w:rsidR="00A03BF1" w:rsidRPr="003763FB">
              <w:t xml:space="preserve"> </w:t>
            </w:r>
          </w:p>
        </w:tc>
      </w:tr>
    </w:tbl>
    <w:p w:rsidR="002E7A60" w:rsidRPr="003763FB" w:rsidRDefault="002E7A60" w:rsidP="002E7A60"/>
    <w:p w:rsidR="0061342D" w:rsidRDefault="0061342D" w:rsidP="002E7A60">
      <w:pPr>
        <w:rPr>
          <w:b/>
          <w:sz w:val="24"/>
          <w:szCs w:val="24"/>
        </w:rPr>
      </w:pPr>
    </w:p>
    <w:p w:rsidR="0061342D" w:rsidRDefault="0061342D" w:rsidP="002E7A60">
      <w:pPr>
        <w:rPr>
          <w:b/>
          <w:sz w:val="24"/>
          <w:szCs w:val="24"/>
        </w:rPr>
      </w:pPr>
    </w:p>
    <w:p w:rsidR="002E7A60" w:rsidRPr="00C17873" w:rsidRDefault="00C17873" w:rsidP="002E7A60">
      <w:pPr>
        <w:rPr>
          <w:b/>
          <w:sz w:val="24"/>
          <w:szCs w:val="24"/>
        </w:rPr>
      </w:pPr>
      <w:r w:rsidRPr="00C17873">
        <w:rPr>
          <w:b/>
          <w:sz w:val="24"/>
          <w:szCs w:val="24"/>
        </w:rPr>
        <w:t>Revision</w:t>
      </w:r>
      <w:r w:rsidR="002E7A60" w:rsidRPr="00C17873">
        <w:rPr>
          <w:b/>
          <w:sz w:val="24"/>
          <w:szCs w:val="24"/>
        </w:rPr>
        <w:t xml:space="preserv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560"/>
        <w:gridCol w:w="3787"/>
      </w:tblGrid>
      <w:tr w:rsidR="002E7A60" w:rsidRPr="00C17873" w:rsidTr="0061342D">
        <w:tc>
          <w:tcPr>
            <w:tcW w:w="2943" w:type="dxa"/>
          </w:tcPr>
          <w:p w:rsidR="002E7A60" w:rsidRPr="00C17873" w:rsidRDefault="002E7A60" w:rsidP="0009488C">
            <w:pPr>
              <w:jc w:val="center"/>
              <w:rPr>
                <w:b/>
              </w:rPr>
            </w:pPr>
            <w:r w:rsidRPr="00C17873">
              <w:rPr>
                <w:b/>
              </w:rPr>
              <w:t>Version</w:t>
            </w:r>
          </w:p>
        </w:tc>
        <w:tc>
          <w:tcPr>
            <w:tcW w:w="1560" w:type="dxa"/>
          </w:tcPr>
          <w:p w:rsidR="002E7A60" w:rsidRPr="00C17873" w:rsidRDefault="002E7A60" w:rsidP="0009488C">
            <w:pPr>
              <w:ind w:left="540"/>
              <w:rPr>
                <w:b/>
              </w:rPr>
            </w:pPr>
            <w:r w:rsidRPr="00C17873">
              <w:rPr>
                <w:b/>
              </w:rPr>
              <w:t>Date</w:t>
            </w:r>
          </w:p>
        </w:tc>
        <w:tc>
          <w:tcPr>
            <w:tcW w:w="3787" w:type="dxa"/>
          </w:tcPr>
          <w:p w:rsidR="002E7A60" w:rsidRPr="00C17873" w:rsidRDefault="002E7A60" w:rsidP="0009488C">
            <w:pPr>
              <w:ind w:left="540"/>
              <w:rPr>
                <w:b/>
              </w:rPr>
            </w:pPr>
            <w:r w:rsidRPr="00C17873">
              <w:rPr>
                <w:b/>
              </w:rPr>
              <w:t>Comments</w:t>
            </w:r>
          </w:p>
        </w:tc>
      </w:tr>
      <w:tr w:rsidR="002E7A60" w:rsidRPr="00C17873" w:rsidTr="0061342D">
        <w:tc>
          <w:tcPr>
            <w:tcW w:w="2943" w:type="dxa"/>
          </w:tcPr>
          <w:p w:rsidR="002E7A60" w:rsidRPr="00C17873" w:rsidRDefault="00A717A4" w:rsidP="00A717A4">
            <w:pPr>
              <w:jc w:val="center"/>
            </w:pPr>
            <w:r>
              <w:t>1</w:t>
            </w:r>
            <w:r w:rsidR="001E485E">
              <w:t>.1</w:t>
            </w:r>
          </w:p>
        </w:tc>
        <w:tc>
          <w:tcPr>
            <w:tcW w:w="1560" w:type="dxa"/>
          </w:tcPr>
          <w:p w:rsidR="002E7A60" w:rsidRPr="00C17873" w:rsidRDefault="001376C9" w:rsidP="0061342D">
            <w:r>
              <w:t>August 2015</w:t>
            </w:r>
          </w:p>
        </w:tc>
        <w:tc>
          <w:tcPr>
            <w:tcW w:w="3787" w:type="dxa"/>
          </w:tcPr>
          <w:p w:rsidR="002E7A60" w:rsidRPr="00C17873" w:rsidRDefault="003763FB" w:rsidP="00127420">
            <w:pPr>
              <w:ind w:left="33"/>
            </w:pPr>
            <w:r>
              <w:t>Approved by the Executive Board</w:t>
            </w:r>
          </w:p>
        </w:tc>
      </w:tr>
      <w:tr w:rsidR="001E485E" w:rsidRPr="00C17873" w:rsidTr="0061342D">
        <w:tc>
          <w:tcPr>
            <w:tcW w:w="2943" w:type="dxa"/>
          </w:tcPr>
          <w:p w:rsidR="001E485E" w:rsidRDefault="001E485E" w:rsidP="00A717A4">
            <w:pPr>
              <w:jc w:val="center"/>
            </w:pPr>
            <w:r>
              <w:t>1.2</w:t>
            </w:r>
          </w:p>
        </w:tc>
        <w:tc>
          <w:tcPr>
            <w:tcW w:w="1560" w:type="dxa"/>
          </w:tcPr>
          <w:p w:rsidR="001E485E" w:rsidRDefault="001E485E" w:rsidP="0061342D">
            <w:r>
              <w:t>November 2015</w:t>
            </w:r>
          </w:p>
        </w:tc>
        <w:tc>
          <w:tcPr>
            <w:tcW w:w="3787" w:type="dxa"/>
          </w:tcPr>
          <w:p w:rsidR="001E485E" w:rsidRDefault="001E485E" w:rsidP="00127420">
            <w:pPr>
              <w:ind w:left="33"/>
            </w:pPr>
            <w:r>
              <w:t>Edited for publication to the website</w:t>
            </w:r>
          </w:p>
        </w:tc>
      </w:tr>
    </w:tbl>
    <w:p w:rsidR="005F62AD" w:rsidRDefault="002E7A60">
      <w:pPr>
        <w:spacing w:after="320"/>
        <w:rPr>
          <w:rFonts w:ascii="Arial Black" w:hAnsi="Arial Black"/>
          <w:caps/>
          <w:sz w:val="24"/>
        </w:rPr>
      </w:pPr>
      <w:r>
        <w:rPr>
          <w:rFonts w:ascii="Arial Black" w:hAnsi="Arial Black"/>
          <w:caps/>
          <w:sz w:val="24"/>
        </w:rPr>
        <w:br w:type="page"/>
      </w:r>
    </w:p>
    <w:p w:rsidR="005F62AD" w:rsidRPr="002F72ED" w:rsidRDefault="005F62AD">
      <w:pPr>
        <w:pStyle w:val="TOCHeading"/>
        <w:rPr>
          <w:color w:val="auto"/>
          <w:sz w:val="32"/>
          <w:szCs w:val="32"/>
        </w:rPr>
      </w:pPr>
      <w:r w:rsidRPr="002F72ED">
        <w:rPr>
          <w:color w:val="auto"/>
          <w:sz w:val="32"/>
          <w:szCs w:val="32"/>
        </w:rPr>
        <w:lastRenderedPageBreak/>
        <w:t>Contents</w:t>
      </w:r>
    </w:p>
    <w:p w:rsidR="001376C9" w:rsidRDefault="001376C9" w:rsidP="001376C9">
      <w:pPr>
        <w:rPr>
          <w:lang w:val="en-US"/>
        </w:rPr>
      </w:pPr>
    </w:p>
    <w:sdt>
      <w:sdtPr>
        <w:rPr>
          <w:rFonts w:ascii="Book Antiqua" w:hAnsi="Book Antiqua"/>
          <w:b w:val="0"/>
          <w:bCs w:val="0"/>
          <w:color w:val="auto"/>
          <w:sz w:val="22"/>
          <w:szCs w:val="20"/>
          <w:lang w:val="en-AU"/>
        </w:rPr>
        <w:id w:val="1948735816"/>
        <w:docPartObj>
          <w:docPartGallery w:val="Table of Contents"/>
          <w:docPartUnique/>
        </w:docPartObj>
      </w:sdtPr>
      <w:sdtEndPr>
        <w:rPr>
          <w:noProof/>
        </w:rPr>
      </w:sdtEndPr>
      <w:sdtContent>
        <w:p w:rsidR="00711589" w:rsidRDefault="00711589">
          <w:pPr>
            <w:pStyle w:val="TOCHeading"/>
          </w:pPr>
          <w:r>
            <w:t>Table of Contents</w:t>
          </w:r>
        </w:p>
        <w:p w:rsidR="00711589" w:rsidRPr="007F4C44" w:rsidRDefault="00711589"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r w:rsidRPr="007F4C44">
            <w:rPr>
              <w:rFonts w:ascii="Book Antiqua" w:hAnsi="Book Antiqua"/>
            </w:rPr>
            <w:fldChar w:fldCharType="begin"/>
          </w:r>
          <w:r w:rsidRPr="007F4C44">
            <w:rPr>
              <w:rFonts w:ascii="Book Antiqua" w:hAnsi="Book Antiqua"/>
            </w:rPr>
            <w:instrText xml:space="preserve"> TOC \o "1-3" \h \z \u </w:instrText>
          </w:r>
          <w:r w:rsidRPr="007F4C44">
            <w:rPr>
              <w:rFonts w:ascii="Book Antiqua" w:hAnsi="Book Antiqua"/>
            </w:rPr>
            <w:fldChar w:fldCharType="separate"/>
          </w:r>
          <w:hyperlink w:anchor="_Toc435969720" w:history="1">
            <w:r w:rsidRPr="007F4C44">
              <w:rPr>
                <w:rStyle w:val="Hyperlink"/>
                <w:rFonts w:ascii="Book Antiqua" w:hAnsi="Book Antiqua"/>
                <w:noProof/>
                <w:u w:val="none"/>
              </w:rPr>
              <w:t>1.</w:t>
            </w:r>
            <w:r w:rsidRPr="007F4C44">
              <w:rPr>
                <w:rFonts w:ascii="Book Antiqua" w:eastAsiaTheme="minorEastAsia" w:hAnsi="Book Antiqua" w:cstheme="minorBidi"/>
                <w:b w:val="0"/>
                <w:bCs w:val="0"/>
                <w:caps w:val="0"/>
                <w:noProof/>
                <w:sz w:val="22"/>
                <w:szCs w:val="22"/>
                <w:lang w:eastAsia="en-AU"/>
              </w:rPr>
              <w:tab/>
            </w:r>
            <w:r w:rsidRPr="007F4C44">
              <w:rPr>
                <w:rStyle w:val="Hyperlink"/>
                <w:rFonts w:ascii="Book Antiqua" w:hAnsi="Book Antiqua"/>
                <w:noProof/>
                <w:u w:val="none"/>
              </w:rPr>
              <w:t>POLICY OUTLINE</w:t>
            </w:r>
            <w:r w:rsidRPr="007F4C44">
              <w:rPr>
                <w:rFonts w:ascii="Book Antiqua" w:hAnsi="Book Antiqua"/>
                <w:noProof/>
                <w:webHidden/>
              </w:rPr>
              <w:tab/>
            </w:r>
            <w:r w:rsidRPr="007F4C44">
              <w:rPr>
                <w:rFonts w:ascii="Book Antiqua" w:hAnsi="Book Antiqua"/>
                <w:noProof/>
                <w:webHidden/>
              </w:rPr>
              <w:fldChar w:fldCharType="begin"/>
            </w:r>
            <w:r w:rsidRPr="007F4C44">
              <w:rPr>
                <w:rFonts w:ascii="Book Antiqua" w:hAnsi="Book Antiqua"/>
                <w:noProof/>
                <w:webHidden/>
              </w:rPr>
              <w:instrText xml:space="preserve"> PAGEREF _Toc435969720 \h </w:instrText>
            </w:r>
            <w:r w:rsidRPr="007F4C44">
              <w:rPr>
                <w:rFonts w:ascii="Book Antiqua" w:hAnsi="Book Antiqua"/>
                <w:noProof/>
                <w:webHidden/>
              </w:rPr>
            </w:r>
            <w:r w:rsidRPr="007F4C44">
              <w:rPr>
                <w:rFonts w:ascii="Book Antiqua" w:hAnsi="Book Antiqua"/>
                <w:noProof/>
                <w:webHidden/>
              </w:rPr>
              <w:fldChar w:fldCharType="separate"/>
            </w:r>
            <w:r w:rsidRPr="007F4C44">
              <w:rPr>
                <w:rFonts w:ascii="Book Antiqua" w:hAnsi="Book Antiqua"/>
                <w:noProof/>
                <w:webHidden/>
              </w:rPr>
              <w:t>4</w:t>
            </w:r>
            <w:r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21" w:history="1">
            <w:r w:rsidR="00711589" w:rsidRPr="007F4C44">
              <w:rPr>
                <w:rStyle w:val="Hyperlink"/>
                <w:rFonts w:ascii="Book Antiqua" w:hAnsi="Book Antiqua"/>
                <w:noProof/>
                <w:u w:val="none"/>
              </w:rPr>
              <w:t>2.</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u w:val="none"/>
              </w:rPr>
              <w:t>Purpose</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_Toc435969721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4</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22" w:history="1">
            <w:r w:rsidR="00711589" w:rsidRPr="007F4C44">
              <w:rPr>
                <w:rStyle w:val="Hyperlink"/>
                <w:rFonts w:ascii="Book Antiqua" w:hAnsi="Book Antiqua"/>
                <w:noProof/>
                <w:u w:val="none"/>
              </w:rPr>
              <w:t>2.1 Distributed custody and the personal records collection</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_Toc435969722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4</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23" w:history="1">
            <w:r w:rsidR="00711589" w:rsidRPr="007F4C44">
              <w:rPr>
                <w:rStyle w:val="Hyperlink"/>
                <w:rFonts w:ascii="Book Antiqua" w:hAnsi="Book Antiqua"/>
                <w:noProof/>
                <w:u w:val="none"/>
              </w:rPr>
              <w:t>3.</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u w:val="none"/>
              </w:rPr>
              <w:t>LEGISLATIVE BASIS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_Toc435969723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5</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24" w:history="1">
            <w:r w:rsidR="00711589" w:rsidRPr="007F4C44">
              <w:rPr>
                <w:rStyle w:val="Hyperlink"/>
                <w:rFonts w:ascii="Book Antiqua" w:hAnsi="Book Antiqua"/>
                <w:noProof/>
                <w:u w:val="none"/>
              </w:rPr>
              <w:t>3.1 Policy position</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_Toc435969724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5</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25" w:history="1">
            <w:r w:rsidR="00711589" w:rsidRPr="007F4C44">
              <w:rPr>
                <w:rStyle w:val="Hyperlink"/>
                <w:rFonts w:ascii="Book Antiqua" w:hAnsi="Book Antiqua"/>
                <w:noProof/>
                <w:u w:val="none"/>
              </w:rPr>
              <w:t>4.</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u w:val="none"/>
              </w:rPr>
              <w:t>SCOPE</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_Toc435969725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6</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26" w:history="1">
            <w:r w:rsidR="00711589" w:rsidRPr="007F4C44">
              <w:rPr>
                <w:rStyle w:val="Hyperlink"/>
                <w:rFonts w:ascii="Book Antiqua" w:hAnsi="Book Antiqua"/>
                <w:noProof/>
                <w:u w:val="none"/>
              </w:rPr>
              <w:t>4.1 Definitions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_Toc435969726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6</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27" w:history="1">
            <w:r w:rsidR="00711589" w:rsidRPr="007F4C44">
              <w:rPr>
                <w:rStyle w:val="Hyperlink"/>
                <w:rFonts w:ascii="Book Antiqua" w:hAnsi="Book Antiqua"/>
                <w:noProof/>
                <w:u w:val="none"/>
              </w:rPr>
              <w:t>5.</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u w:val="none"/>
              </w:rPr>
              <w:t>policy statement</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_Toc435969727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7</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28" w:history="1">
            <w:r w:rsidR="00711589" w:rsidRPr="007F4C44">
              <w:rPr>
                <w:rStyle w:val="Hyperlink"/>
                <w:rFonts w:ascii="Book Antiqua" w:hAnsi="Book Antiqua"/>
                <w:noProof/>
                <w:u w:val="none"/>
              </w:rPr>
              <w:t>5.1 Obligations under the Act</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_Toc435969728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7</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34" w:history="1">
            <w:r w:rsidR="00711589" w:rsidRPr="007F4C44">
              <w:rPr>
                <w:rStyle w:val="Hyperlink"/>
                <w:rFonts w:ascii="Book Antiqua" w:hAnsi="Book Antiqua"/>
                <w:noProof/>
              </w:rPr>
              <w:t>5.2 Distributed custody model</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_Toc435969734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8</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35" w:history="1">
            <w:r w:rsidR="00711589" w:rsidRPr="007F4C44">
              <w:rPr>
                <w:rStyle w:val="Hyperlink"/>
                <w:rFonts w:ascii="Book Antiqua" w:hAnsi="Book Antiqua"/>
                <w:noProof/>
              </w:rPr>
              <w:t>5.3 Distributed custody framework</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_Toc435969735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9</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38" w:history="1">
            <w:r w:rsidR="00711589" w:rsidRPr="007F4C44">
              <w:rPr>
                <w:rStyle w:val="Hyperlink"/>
                <w:rFonts w:ascii="Book Antiqua" w:hAnsi="Book Antiqua"/>
                <w:noProof/>
              </w:rPr>
              <w:t>6.</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rPr>
              <w:t>implementation guidelines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_Toc435969738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10</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40" w:history="1">
            <w:r w:rsidR="00711589" w:rsidRPr="007F4C44">
              <w:rPr>
                <w:rStyle w:val="Hyperlink"/>
                <w:rFonts w:ascii="Book Antiqua" w:hAnsi="Book Antiqua"/>
                <w:noProof/>
              </w:rPr>
              <w:t>7.</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rPr>
              <w:t>ROLES AND RESPONSIBILITIES WITHIN THE ARCHIVES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_Toc435969740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10</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41" w:history="1">
            <w:r w:rsidR="00711589" w:rsidRPr="007F4C44">
              <w:rPr>
                <w:rStyle w:val="Hyperlink"/>
                <w:rFonts w:ascii="Book Antiqua" w:hAnsi="Book Antiqua"/>
                <w:noProof/>
              </w:rPr>
              <w:t>8.</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rPr>
              <w:t>benefits and risks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_Toc435969741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11</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42" w:history="1">
            <w:r w:rsidR="00711589" w:rsidRPr="007F4C44">
              <w:rPr>
                <w:rStyle w:val="Hyperlink"/>
                <w:rFonts w:ascii="Book Antiqua" w:hAnsi="Book Antiqua"/>
                <w:noProof/>
              </w:rPr>
              <w:t>8.1 Benefits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_Toc435969742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11</w:t>
            </w:r>
            <w:r w:rsidR="00711589" w:rsidRPr="007F4C44">
              <w:rPr>
                <w:rFonts w:ascii="Book Antiqua" w:hAnsi="Book Antiqua"/>
                <w:noProof/>
                <w:webHidden/>
              </w:rPr>
              <w:fldChar w:fldCharType="end"/>
            </w:r>
          </w:hyperlink>
        </w:p>
        <w:p w:rsidR="00711589" w:rsidRPr="007F4C44" w:rsidRDefault="008801CC" w:rsidP="007F4C44">
          <w:pPr>
            <w:pStyle w:val="TOC2"/>
            <w:tabs>
              <w:tab w:val="right" w:leader="dot" w:pos="8488"/>
            </w:tabs>
            <w:rPr>
              <w:rFonts w:ascii="Book Antiqua" w:eastAsiaTheme="minorEastAsia" w:hAnsi="Book Antiqua" w:cstheme="minorBidi"/>
              <w:smallCaps w:val="0"/>
              <w:noProof/>
              <w:sz w:val="22"/>
              <w:szCs w:val="22"/>
              <w:lang w:eastAsia="en-AU"/>
            </w:rPr>
          </w:pPr>
          <w:hyperlink w:anchor="_Toc435969743" w:history="1">
            <w:r w:rsidR="00711589" w:rsidRPr="007F4C44">
              <w:rPr>
                <w:rStyle w:val="Hyperlink"/>
                <w:rFonts w:ascii="Book Antiqua" w:hAnsi="Book Antiqua"/>
                <w:noProof/>
              </w:rPr>
              <w:t>8.2 Risks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_Toc435969743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12</w:t>
            </w:r>
            <w:r w:rsidR="00711589" w:rsidRPr="007F4C44">
              <w:rPr>
                <w:rFonts w:ascii="Book Antiqua" w:hAnsi="Book Antiqua"/>
                <w:noProof/>
                <w:webHidden/>
              </w:rPr>
              <w:fldChar w:fldCharType="end"/>
            </w:r>
          </w:hyperlink>
        </w:p>
        <w:p w:rsidR="00711589" w:rsidRPr="007F4C44" w:rsidRDefault="008801CC" w:rsidP="007F4C44">
          <w:pPr>
            <w:pStyle w:val="TOC1"/>
            <w:tabs>
              <w:tab w:val="left" w:pos="426"/>
              <w:tab w:val="right" w:leader="dot" w:pos="8488"/>
            </w:tabs>
            <w:rPr>
              <w:rFonts w:ascii="Book Antiqua" w:eastAsiaTheme="minorEastAsia" w:hAnsi="Book Antiqua" w:cstheme="minorBidi"/>
              <w:b w:val="0"/>
              <w:bCs w:val="0"/>
              <w:caps w:val="0"/>
              <w:noProof/>
              <w:sz w:val="22"/>
              <w:szCs w:val="22"/>
              <w:lang w:eastAsia="en-AU"/>
            </w:rPr>
          </w:pPr>
          <w:hyperlink w:anchor="_Toc435969744" w:history="1">
            <w:r w:rsidR="00711589" w:rsidRPr="007F4C44">
              <w:rPr>
                <w:rStyle w:val="Hyperlink"/>
                <w:rFonts w:ascii="Book Antiqua" w:hAnsi="Book Antiqua"/>
                <w:noProof/>
              </w:rPr>
              <w:t>9.</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rPr>
              <w:t>review</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_Toc435969744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13</w:t>
            </w:r>
            <w:r w:rsidR="00711589" w:rsidRPr="007F4C44">
              <w:rPr>
                <w:rFonts w:ascii="Book Antiqua" w:hAnsi="Book Antiqua"/>
                <w:noProof/>
                <w:webHidden/>
              </w:rPr>
              <w:fldChar w:fldCharType="end"/>
            </w:r>
          </w:hyperlink>
        </w:p>
        <w:p w:rsidR="00711589" w:rsidRPr="007F4C44" w:rsidRDefault="008801CC" w:rsidP="007F4C44">
          <w:pPr>
            <w:pStyle w:val="TOC1"/>
            <w:tabs>
              <w:tab w:val="left" w:pos="660"/>
              <w:tab w:val="right" w:leader="dot" w:pos="8488"/>
            </w:tabs>
            <w:rPr>
              <w:rFonts w:ascii="Book Antiqua" w:eastAsiaTheme="minorEastAsia" w:hAnsi="Book Antiqua" w:cstheme="minorBidi"/>
              <w:b w:val="0"/>
              <w:bCs w:val="0"/>
              <w:caps w:val="0"/>
              <w:noProof/>
              <w:sz w:val="22"/>
              <w:szCs w:val="22"/>
              <w:lang w:eastAsia="en-AU"/>
            </w:rPr>
          </w:pPr>
          <w:hyperlink w:anchor="_Toc435969745" w:history="1">
            <w:r w:rsidR="00711589" w:rsidRPr="007F4C44">
              <w:rPr>
                <w:rStyle w:val="Hyperlink"/>
                <w:rFonts w:ascii="Book Antiqua" w:hAnsi="Book Antiqua"/>
                <w:noProof/>
              </w:rPr>
              <w:t>10.</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rPr>
              <w:t>authorisation</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_Toc435969745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13</w:t>
            </w:r>
            <w:r w:rsidR="00711589" w:rsidRPr="007F4C44">
              <w:rPr>
                <w:rFonts w:ascii="Book Antiqua" w:hAnsi="Book Antiqua"/>
                <w:noProof/>
                <w:webHidden/>
              </w:rPr>
              <w:fldChar w:fldCharType="end"/>
            </w:r>
          </w:hyperlink>
        </w:p>
        <w:p w:rsidR="00711589" w:rsidRPr="007F4C44" w:rsidRDefault="008801CC" w:rsidP="007F4C44">
          <w:pPr>
            <w:pStyle w:val="TOC1"/>
            <w:tabs>
              <w:tab w:val="left" w:pos="1540"/>
              <w:tab w:val="right" w:leader="dot" w:pos="8488"/>
            </w:tabs>
            <w:rPr>
              <w:rFonts w:ascii="Book Antiqua" w:eastAsiaTheme="minorEastAsia" w:hAnsi="Book Antiqua" w:cstheme="minorBidi"/>
              <w:b w:val="0"/>
              <w:bCs w:val="0"/>
              <w:caps w:val="0"/>
              <w:noProof/>
              <w:sz w:val="22"/>
              <w:szCs w:val="22"/>
              <w:lang w:eastAsia="en-AU"/>
            </w:rPr>
          </w:pPr>
          <w:hyperlink w:anchor="_Toc435969746" w:history="1">
            <w:r w:rsidR="00711589" w:rsidRPr="007F4C44">
              <w:rPr>
                <w:rStyle w:val="Hyperlink"/>
                <w:rFonts w:ascii="Book Antiqua" w:hAnsi="Book Antiqua"/>
                <w:noProof/>
              </w:rPr>
              <w:t>appendix 1</w:t>
            </w:r>
            <w:r w:rsidR="00711589" w:rsidRPr="007F4C44">
              <w:rPr>
                <w:rFonts w:ascii="Book Antiqua" w:eastAsiaTheme="minorEastAsia" w:hAnsi="Book Antiqua" w:cstheme="minorBidi"/>
                <w:b w:val="0"/>
                <w:bCs w:val="0"/>
                <w:caps w:val="0"/>
                <w:noProof/>
                <w:sz w:val="22"/>
                <w:szCs w:val="22"/>
                <w:lang w:eastAsia="en-AU"/>
              </w:rPr>
              <w:tab/>
            </w:r>
            <w:r w:rsidR="00711589" w:rsidRPr="007F4C44">
              <w:rPr>
                <w:rStyle w:val="Hyperlink"/>
                <w:rFonts w:ascii="Book Antiqua" w:hAnsi="Book Antiqua"/>
                <w:noProof/>
              </w:rPr>
              <w:t>definitions</w:t>
            </w:r>
            <w:r w:rsidR="00711589" w:rsidRPr="007F4C44">
              <w:rPr>
                <w:rFonts w:ascii="Book Antiqua" w:hAnsi="Book Antiqua"/>
                <w:noProof/>
                <w:webHidden/>
              </w:rPr>
              <w:tab/>
            </w:r>
            <w:r w:rsidR="00711589" w:rsidRPr="007F4C44">
              <w:rPr>
                <w:rFonts w:ascii="Book Antiqua" w:hAnsi="Book Antiqua"/>
                <w:noProof/>
                <w:webHidden/>
              </w:rPr>
              <w:fldChar w:fldCharType="begin"/>
            </w:r>
            <w:r w:rsidR="00711589" w:rsidRPr="007F4C44">
              <w:rPr>
                <w:rFonts w:ascii="Book Antiqua" w:hAnsi="Book Antiqua"/>
                <w:noProof/>
                <w:webHidden/>
              </w:rPr>
              <w:instrText xml:space="preserve"> PAGEREF _Toc435969746 \h </w:instrText>
            </w:r>
            <w:r w:rsidR="00711589" w:rsidRPr="007F4C44">
              <w:rPr>
                <w:rFonts w:ascii="Book Antiqua" w:hAnsi="Book Antiqua"/>
                <w:noProof/>
                <w:webHidden/>
              </w:rPr>
            </w:r>
            <w:r w:rsidR="00711589" w:rsidRPr="007F4C44">
              <w:rPr>
                <w:rFonts w:ascii="Book Antiqua" w:hAnsi="Book Antiqua"/>
                <w:noProof/>
                <w:webHidden/>
              </w:rPr>
              <w:fldChar w:fldCharType="separate"/>
            </w:r>
            <w:r w:rsidR="00711589" w:rsidRPr="007F4C44">
              <w:rPr>
                <w:rFonts w:ascii="Book Antiqua" w:hAnsi="Book Antiqua"/>
                <w:noProof/>
                <w:webHidden/>
              </w:rPr>
              <w:t>14</w:t>
            </w:r>
            <w:r w:rsidR="00711589" w:rsidRPr="007F4C44">
              <w:rPr>
                <w:rFonts w:ascii="Book Antiqua" w:hAnsi="Book Antiqua"/>
                <w:noProof/>
                <w:webHidden/>
              </w:rPr>
              <w:fldChar w:fldCharType="end"/>
            </w:r>
          </w:hyperlink>
        </w:p>
        <w:p w:rsidR="00711589" w:rsidRDefault="00711589" w:rsidP="007F4C44">
          <w:r w:rsidRPr="007F4C44">
            <w:rPr>
              <w:b/>
              <w:bCs/>
              <w:noProof/>
            </w:rPr>
            <w:fldChar w:fldCharType="end"/>
          </w:r>
        </w:p>
      </w:sdtContent>
    </w:sdt>
    <w:p w:rsidR="002F72ED" w:rsidRDefault="002F72ED" w:rsidP="001376C9">
      <w:pPr>
        <w:rPr>
          <w:lang w:val="en-US"/>
        </w:rPr>
      </w:pPr>
    </w:p>
    <w:p w:rsidR="005F62AD" w:rsidRDefault="005F62AD"/>
    <w:p w:rsidR="00E62104" w:rsidRPr="001376C9" w:rsidRDefault="00E62104" w:rsidP="001376C9">
      <w:pPr>
        <w:pStyle w:val="TOC2"/>
        <w:ind w:left="0"/>
        <w:rPr>
          <w:color w:val="FF0000"/>
        </w:rPr>
        <w:sectPr w:rsidR="00E62104" w:rsidRPr="001376C9" w:rsidSect="00601B70">
          <w:headerReference w:type="default" r:id="rId9"/>
          <w:footerReference w:type="default" r:id="rId10"/>
          <w:type w:val="nextColumn"/>
          <w:pgSz w:w="11900" w:h="16840" w:code="9"/>
          <w:pgMar w:top="2098" w:right="1701" w:bottom="1361" w:left="1701" w:header="1134" w:footer="680" w:gutter="0"/>
          <w:pgNumType w:start="2"/>
          <w:cols w:space="720"/>
          <w:titlePg/>
        </w:sectPr>
      </w:pPr>
    </w:p>
    <w:p w:rsidR="00E62104" w:rsidRDefault="00EB5792" w:rsidP="001201FA">
      <w:pPr>
        <w:pStyle w:val="Heading1"/>
        <w:numPr>
          <w:ilvl w:val="0"/>
          <w:numId w:val="1"/>
        </w:numPr>
        <w:tabs>
          <w:tab w:val="clear" w:pos="360"/>
          <w:tab w:val="num" w:pos="709"/>
        </w:tabs>
      </w:pPr>
      <w:bookmarkStart w:id="1" w:name="_Toc435969397"/>
      <w:bookmarkStart w:id="2" w:name="_Toc435969720"/>
      <w:r>
        <w:lastRenderedPageBreak/>
        <w:t>POLICY OUTLINE</w:t>
      </w:r>
      <w:bookmarkEnd w:id="1"/>
      <w:bookmarkEnd w:id="2"/>
    </w:p>
    <w:p w:rsidR="00A4405B" w:rsidRDefault="00A4405B" w:rsidP="00756230">
      <w:pPr>
        <w:pStyle w:val="Text"/>
        <w:spacing w:after="120"/>
        <w:ind w:right="845"/>
        <w:rPr>
          <w:szCs w:val="22"/>
        </w:rPr>
      </w:pPr>
      <w:r>
        <w:rPr>
          <w:szCs w:val="22"/>
        </w:rPr>
        <w:t xml:space="preserve">The policy describes the National Archives of Australia’s approach to managing Commonwealth records of continuing value that are in the custody of an organisation other </w:t>
      </w:r>
      <w:r w:rsidR="00512BD3">
        <w:rPr>
          <w:szCs w:val="22"/>
        </w:rPr>
        <w:t xml:space="preserve">than </w:t>
      </w:r>
      <w:r>
        <w:rPr>
          <w:szCs w:val="22"/>
        </w:rPr>
        <w:t xml:space="preserve">the Archives. </w:t>
      </w:r>
      <w:r w:rsidR="008D5537">
        <w:rPr>
          <w:szCs w:val="22"/>
        </w:rPr>
        <w:t xml:space="preserve">The approach is described as a distributed custody model. </w:t>
      </w:r>
    </w:p>
    <w:p w:rsidR="00A4405B" w:rsidRDefault="003763FB" w:rsidP="00756230">
      <w:pPr>
        <w:pStyle w:val="Text"/>
        <w:spacing w:after="120"/>
        <w:ind w:right="845"/>
        <w:rPr>
          <w:szCs w:val="22"/>
        </w:rPr>
      </w:pPr>
      <w:r>
        <w:rPr>
          <w:szCs w:val="22"/>
        </w:rPr>
        <w:t xml:space="preserve">The </w:t>
      </w:r>
      <w:r w:rsidR="00A4405B">
        <w:rPr>
          <w:szCs w:val="22"/>
        </w:rPr>
        <w:t xml:space="preserve">policy applies to records of continuing value </w:t>
      </w:r>
      <w:r w:rsidR="00756230" w:rsidRPr="00E9448E">
        <w:rPr>
          <w:szCs w:val="22"/>
        </w:rPr>
        <w:t>in all formats</w:t>
      </w:r>
      <w:r>
        <w:rPr>
          <w:szCs w:val="22"/>
        </w:rPr>
        <w:t xml:space="preserve"> and:</w:t>
      </w:r>
    </w:p>
    <w:p w:rsidR="00A4405B" w:rsidRPr="009F33A0" w:rsidRDefault="00A4405B" w:rsidP="001201FA">
      <w:pPr>
        <w:pStyle w:val="Text"/>
        <w:numPr>
          <w:ilvl w:val="0"/>
          <w:numId w:val="3"/>
        </w:numPr>
      </w:pPr>
      <w:r w:rsidRPr="00DD0279">
        <w:t>i</w:t>
      </w:r>
      <w:r w:rsidRPr="009F33A0">
        <w:t xml:space="preserve">dentifies obligations under the </w:t>
      </w:r>
      <w:r w:rsidR="00D37AC7" w:rsidRPr="00D37AC7">
        <w:rPr>
          <w:i/>
        </w:rPr>
        <w:t xml:space="preserve">Archives </w:t>
      </w:r>
      <w:r w:rsidRPr="00D37AC7">
        <w:rPr>
          <w:i/>
        </w:rPr>
        <w:t>Act</w:t>
      </w:r>
      <w:r w:rsidR="00D37AC7" w:rsidRPr="00D37AC7">
        <w:rPr>
          <w:i/>
        </w:rPr>
        <w:t xml:space="preserve"> 198</w:t>
      </w:r>
      <w:r w:rsidR="00D37AC7">
        <w:rPr>
          <w:i/>
        </w:rPr>
        <w:t>3</w:t>
      </w:r>
      <w:r w:rsidR="003763FB">
        <w:rPr>
          <w:i/>
        </w:rPr>
        <w:t xml:space="preserve"> </w:t>
      </w:r>
      <w:r w:rsidR="002F72ED">
        <w:rPr>
          <w:i/>
        </w:rPr>
        <w:t>(</w:t>
      </w:r>
      <w:r w:rsidR="002F72ED" w:rsidRPr="002F72ED">
        <w:t>the Act</w:t>
      </w:r>
      <w:r w:rsidR="00D37AC7" w:rsidRPr="00563006">
        <w:rPr>
          <w:szCs w:val="22"/>
        </w:rPr>
        <w:t>)</w:t>
      </w:r>
      <w:r w:rsidR="00D37AC7">
        <w:rPr>
          <w:szCs w:val="22"/>
        </w:rPr>
        <w:t xml:space="preserve"> </w:t>
      </w:r>
      <w:r w:rsidR="00D37AC7" w:rsidRPr="00E9448E">
        <w:rPr>
          <w:szCs w:val="22"/>
        </w:rPr>
        <w:t xml:space="preserve">for the care and preservation of, and access to, </w:t>
      </w:r>
      <w:r w:rsidR="00D37AC7">
        <w:rPr>
          <w:szCs w:val="22"/>
        </w:rPr>
        <w:t>records of continuing value</w:t>
      </w:r>
      <w:r w:rsidR="003763FB">
        <w:rPr>
          <w:szCs w:val="22"/>
        </w:rPr>
        <w:t>;</w:t>
      </w:r>
    </w:p>
    <w:p w:rsidR="00A4405B" w:rsidRPr="009F33A0" w:rsidRDefault="00A4405B" w:rsidP="001201FA">
      <w:pPr>
        <w:pStyle w:val="Text"/>
        <w:numPr>
          <w:ilvl w:val="0"/>
          <w:numId w:val="3"/>
        </w:numPr>
      </w:pPr>
      <w:r w:rsidRPr="009F33A0">
        <w:t xml:space="preserve">describes the distributed custody model supported by the Archives </w:t>
      </w:r>
      <w:r w:rsidR="003763FB">
        <w:t>;</w:t>
      </w:r>
    </w:p>
    <w:p w:rsidR="00A4405B" w:rsidRDefault="00127420" w:rsidP="001201FA">
      <w:pPr>
        <w:pStyle w:val="Text"/>
        <w:numPr>
          <w:ilvl w:val="0"/>
          <w:numId w:val="3"/>
        </w:numPr>
      </w:pPr>
      <w:r>
        <w:t>outlines</w:t>
      </w:r>
      <w:r w:rsidR="00A4405B" w:rsidRPr="009F33A0">
        <w:t xml:space="preserve"> a framework for the establishment and management of distributed custody arrangements</w:t>
      </w:r>
      <w:r w:rsidR="00DD0279" w:rsidRPr="009F33A0">
        <w:t xml:space="preserve"> when required</w:t>
      </w:r>
      <w:r w:rsidR="003763FB">
        <w:t xml:space="preserve">; </w:t>
      </w:r>
      <w:r w:rsidR="00CC25D2">
        <w:t>and</w:t>
      </w:r>
    </w:p>
    <w:p w:rsidR="001376C9" w:rsidRPr="009F33A0" w:rsidRDefault="001376C9" w:rsidP="001201FA">
      <w:pPr>
        <w:pStyle w:val="Text"/>
        <w:numPr>
          <w:ilvl w:val="0"/>
          <w:numId w:val="3"/>
        </w:numPr>
      </w:pPr>
      <w:r w:rsidRPr="00E9448E">
        <w:rPr>
          <w:szCs w:val="22"/>
        </w:rPr>
        <w:t xml:space="preserve">specifies responsibilities </w:t>
      </w:r>
      <w:r w:rsidR="003763FB">
        <w:rPr>
          <w:szCs w:val="22"/>
        </w:rPr>
        <w:t>of the custodial</w:t>
      </w:r>
      <w:r>
        <w:rPr>
          <w:szCs w:val="22"/>
        </w:rPr>
        <w:t xml:space="preserve"> organisation </w:t>
      </w:r>
      <w:r w:rsidRPr="00E9448E">
        <w:rPr>
          <w:szCs w:val="22"/>
        </w:rPr>
        <w:t>and describes the role of the Archives in supporting these arrangements</w:t>
      </w:r>
      <w:r w:rsidR="00CC25D2">
        <w:rPr>
          <w:szCs w:val="22"/>
        </w:rPr>
        <w:t>.</w:t>
      </w:r>
    </w:p>
    <w:p w:rsidR="0039351E" w:rsidRDefault="00932B09" w:rsidP="0039351E">
      <w:pPr>
        <w:pStyle w:val="Text"/>
        <w:ind w:right="-574"/>
      </w:pPr>
      <w:r>
        <w:t>This policy</w:t>
      </w:r>
      <w:r w:rsidR="0039351E">
        <w:t xml:space="preserve"> provide</w:t>
      </w:r>
      <w:r w:rsidR="00512BD3">
        <w:t>s</w:t>
      </w:r>
      <w:r w:rsidR="0039351E">
        <w:t xml:space="preserve"> a framework to </w:t>
      </w:r>
      <w:r w:rsidR="00512BD3">
        <w:t xml:space="preserve">support </w:t>
      </w:r>
      <w:r w:rsidR="0039351E">
        <w:t>the long</w:t>
      </w:r>
      <w:r w:rsidR="00555F04">
        <w:t>-</w:t>
      </w:r>
      <w:r w:rsidR="0039351E">
        <w:t xml:space="preserve">term </w:t>
      </w:r>
      <w:r w:rsidR="00D81783">
        <w:t>care and</w:t>
      </w:r>
      <w:r w:rsidR="0039351E">
        <w:t xml:space="preserve"> </w:t>
      </w:r>
      <w:r w:rsidR="00127420">
        <w:t>preservation</w:t>
      </w:r>
      <w:r w:rsidR="0039351E">
        <w:t xml:space="preserve"> of records of </w:t>
      </w:r>
      <w:r w:rsidR="00725C64">
        <w:t>continuing value</w:t>
      </w:r>
      <w:r w:rsidR="00512BD3">
        <w:t xml:space="preserve"> which are held outside the custody of the Archives</w:t>
      </w:r>
      <w:r w:rsidR="00725C64">
        <w:t xml:space="preserve">. </w:t>
      </w:r>
      <w:r w:rsidR="0039351E">
        <w:t xml:space="preserve"> </w:t>
      </w:r>
    </w:p>
    <w:p w:rsidR="00560E28" w:rsidRDefault="00560E28" w:rsidP="001201FA">
      <w:pPr>
        <w:pStyle w:val="Heading1"/>
        <w:numPr>
          <w:ilvl w:val="0"/>
          <w:numId w:val="1"/>
        </w:numPr>
      </w:pPr>
      <w:bookmarkStart w:id="3" w:name="_Toc435969398"/>
      <w:bookmarkStart w:id="4" w:name="_Toc435969721"/>
      <w:bookmarkStart w:id="5" w:name="_Toc240337482"/>
      <w:r>
        <w:t>Purpose</w:t>
      </w:r>
      <w:bookmarkEnd w:id="3"/>
      <w:bookmarkEnd w:id="4"/>
    </w:p>
    <w:p w:rsidR="00512BD3" w:rsidRDefault="00512BD3" w:rsidP="00512BD3">
      <w:pPr>
        <w:pStyle w:val="Text"/>
        <w:spacing w:after="120"/>
        <w:ind w:right="845"/>
        <w:rPr>
          <w:szCs w:val="22"/>
        </w:rPr>
      </w:pPr>
      <w:r w:rsidRPr="00C24862">
        <w:rPr>
          <w:szCs w:val="22"/>
        </w:rPr>
        <w:t xml:space="preserve">The </w:t>
      </w:r>
      <w:r w:rsidRPr="00E9448E">
        <w:rPr>
          <w:szCs w:val="22"/>
        </w:rPr>
        <w:t>need for a clearly articulated distributed custody model</w:t>
      </w:r>
      <w:r w:rsidRPr="00C24862" w:rsidDel="00E46713">
        <w:rPr>
          <w:rFonts w:cs="Book Antiqua"/>
          <w:szCs w:val="22"/>
        </w:rPr>
        <w:t xml:space="preserve"> </w:t>
      </w:r>
      <w:r w:rsidRPr="00C24862">
        <w:rPr>
          <w:rFonts w:cs="Book Antiqua"/>
          <w:szCs w:val="22"/>
        </w:rPr>
        <w:t>to support the increasing number of digital records being held outside the Archives</w:t>
      </w:r>
      <w:r w:rsidR="00932B09">
        <w:rPr>
          <w:rFonts w:cs="Book Antiqua"/>
          <w:szCs w:val="22"/>
        </w:rPr>
        <w:t>’</w:t>
      </w:r>
      <w:r w:rsidRPr="00C24862">
        <w:rPr>
          <w:rFonts w:cs="Book Antiqua"/>
          <w:szCs w:val="22"/>
        </w:rPr>
        <w:t xml:space="preserve"> custody was identified by the Archives</w:t>
      </w:r>
      <w:r w:rsidRPr="00E9448E">
        <w:rPr>
          <w:szCs w:val="22"/>
        </w:rPr>
        <w:t xml:space="preserve"> Digital Business Roadmap which outlines a strategic and integrated approach to the management of digital records.</w:t>
      </w:r>
    </w:p>
    <w:p w:rsidR="00512BD3" w:rsidRDefault="00512BD3" w:rsidP="00512BD3">
      <w:pPr>
        <w:pStyle w:val="Text"/>
        <w:spacing w:after="120"/>
        <w:ind w:right="845"/>
      </w:pPr>
      <w:r w:rsidRPr="00E46713">
        <w:t>Digital technologies</w:t>
      </w:r>
      <w:r>
        <w:t xml:space="preserve"> and business processes </w:t>
      </w:r>
      <w:r w:rsidRPr="00E46713">
        <w:t>have contributed to rapidly increasing volumes of digital information being produced and stored by Australian Government</w:t>
      </w:r>
      <w:r>
        <w:t xml:space="preserve"> agencies. Due to the complexity of the systems storing this information, and the nature of digital records themselves, there is an increasing need for agencies to retain information beyond the period when it would normally be transferred to the Archives. </w:t>
      </w:r>
    </w:p>
    <w:p w:rsidR="00033C52" w:rsidRDefault="00932B09" w:rsidP="00560E28">
      <w:pPr>
        <w:pStyle w:val="Text"/>
        <w:spacing w:after="120"/>
        <w:ind w:right="845"/>
        <w:rPr>
          <w:rFonts w:eastAsia="Calibri"/>
        </w:rPr>
      </w:pPr>
      <w:r>
        <w:t>Records in both digital and physical formats may be retained by controlling agencies or housed with other organisations for a number of reasons including ongoing business needs</w:t>
      </w:r>
      <w:r w:rsidR="007447FC">
        <w:t xml:space="preserve">, </w:t>
      </w:r>
      <w:r>
        <w:t>the need for specialist knowledge to interpret the information</w:t>
      </w:r>
      <w:r w:rsidR="002F72ED">
        <w:t>,</w:t>
      </w:r>
      <w:r w:rsidR="007447FC">
        <w:t xml:space="preserve"> or to deliver enhanced access to </w:t>
      </w:r>
      <w:r w:rsidR="00CE54CF">
        <w:t>records</w:t>
      </w:r>
      <w:r>
        <w:t xml:space="preserve">. Such an arrangement is referred to as ‘distributed custody’. </w:t>
      </w:r>
      <w:r>
        <w:rPr>
          <w:rFonts w:cs="Book Antiqua"/>
        </w:rPr>
        <w:t xml:space="preserve">Custody refers to </w:t>
      </w:r>
      <w:r w:rsidRPr="00054A39">
        <w:rPr>
          <w:rFonts w:eastAsia="Calibri"/>
        </w:rPr>
        <w:t>responsibility for th</w:t>
      </w:r>
      <w:r>
        <w:rPr>
          <w:rFonts w:eastAsia="Calibri"/>
        </w:rPr>
        <w:t xml:space="preserve">e care of records </w:t>
      </w:r>
      <w:r w:rsidRPr="00054A39">
        <w:rPr>
          <w:rFonts w:eastAsia="Calibri"/>
        </w:rPr>
        <w:t>based on their physical possession</w:t>
      </w:r>
      <w:r>
        <w:rPr>
          <w:rFonts w:eastAsia="Calibri"/>
        </w:rPr>
        <w:t>. It differs from ‘care’ which relates to responsibility for records regardless of their custody.</w:t>
      </w:r>
      <w:r w:rsidRPr="00932B09">
        <w:rPr>
          <w:rFonts w:eastAsia="Calibri"/>
        </w:rPr>
        <w:t xml:space="preserve"> </w:t>
      </w:r>
      <w:r>
        <w:rPr>
          <w:rFonts w:eastAsia="Calibri"/>
        </w:rPr>
        <w:t xml:space="preserve"> </w:t>
      </w:r>
    </w:p>
    <w:p w:rsidR="001F6343" w:rsidRDefault="00932B09" w:rsidP="00560E28">
      <w:pPr>
        <w:pStyle w:val="Text"/>
        <w:spacing w:after="120"/>
        <w:ind w:right="845"/>
        <w:rPr>
          <w:szCs w:val="22"/>
        </w:rPr>
      </w:pPr>
      <w:r>
        <w:rPr>
          <w:rFonts w:eastAsia="Calibri"/>
        </w:rPr>
        <w:t xml:space="preserve">In a distributed custody arrangement, custody is </w:t>
      </w:r>
      <w:r w:rsidR="002A0D5B">
        <w:rPr>
          <w:rFonts w:eastAsia="Calibri"/>
        </w:rPr>
        <w:t>by</w:t>
      </w:r>
      <w:r>
        <w:rPr>
          <w:rFonts w:eastAsia="Calibri"/>
        </w:rPr>
        <w:t xml:space="preserve"> the organisation where the records are held, but care remains with the Archives.</w:t>
      </w:r>
      <w:r w:rsidR="003842AC">
        <w:rPr>
          <w:rFonts w:cs="Book Antiqua"/>
        </w:rPr>
        <w:t xml:space="preserve"> </w:t>
      </w:r>
    </w:p>
    <w:p w:rsidR="00051078" w:rsidRPr="00563006" w:rsidRDefault="002A0D5B" w:rsidP="002A0D5B">
      <w:pPr>
        <w:pStyle w:val="Heading2"/>
      </w:pPr>
      <w:bookmarkStart w:id="6" w:name="_Toc435969399"/>
      <w:bookmarkStart w:id="7" w:name="_Toc435969722"/>
      <w:r>
        <w:t xml:space="preserve">2.1 </w:t>
      </w:r>
      <w:r w:rsidR="00051078" w:rsidRPr="00563006">
        <w:t>Distributed custody and the personal records collection</w:t>
      </w:r>
      <w:bookmarkEnd w:id="6"/>
      <w:bookmarkEnd w:id="7"/>
      <w:r w:rsidR="00051078" w:rsidRPr="00563006">
        <w:t xml:space="preserve"> </w:t>
      </w:r>
    </w:p>
    <w:p w:rsidR="00051078" w:rsidRPr="00051078" w:rsidRDefault="002A0D5B" w:rsidP="00560E28">
      <w:pPr>
        <w:pStyle w:val="Text"/>
        <w:spacing w:after="120"/>
        <w:ind w:right="845"/>
        <w:rPr>
          <w:szCs w:val="22"/>
        </w:rPr>
      </w:pPr>
      <w:r>
        <w:rPr>
          <w:szCs w:val="22"/>
        </w:rPr>
        <w:t>Under the ‘Acquisition Policy [for] Personal Records’ t</w:t>
      </w:r>
      <w:r w:rsidR="00051078">
        <w:rPr>
          <w:szCs w:val="22"/>
        </w:rPr>
        <w:t xml:space="preserve">he </w:t>
      </w:r>
      <w:r w:rsidR="00033C52">
        <w:rPr>
          <w:szCs w:val="22"/>
        </w:rPr>
        <w:t>Archives</w:t>
      </w:r>
      <w:r w:rsidR="00051078">
        <w:rPr>
          <w:szCs w:val="22"/>
        </w:rPr>
        <w:t xml:space="preserve"> collects personal records of significant individuals who serve within, or</w:t>
      </w:r>
      <w:r w:rsidR="00563006">
        <w:rPr>
          <w:szCs w:val="22"/>
        </w:rPr>
        <w:t xml:space="preserve"> are</w:t>
      </w:r>
      <w:r w:rsidR="00051078">
        <w:rPr>
          <w:szCs w:val="22"/>
        </w:rPr>
        <w:t xml:space="preserve"> closely associated with</w:t>
      </w:r>
      <w:r w:rsidR="00D37AC7">
        <w:rPr>
          <w:szCs w:val="22"/>
        </w:rPr>
        <w:t>,</w:t>
      </w:r>
      <w:r w:rsidR="00051078">
        <w:rPr>
          <w:szCs w:val="22"/>
        </w:rPr>
        <w:t xml:space="preserve"> the </w:t>
      </w:r>
      <w:r w:rsidR="00701CBF">
        <w:rPr>
          <w:szCs w:val="22"/>
        </w:rPr>
        <w:t>Australian Government</w:t>
      </w:r>
      <w:r w:rsidR="00051078">
        <w:rPr>
          <w:szCs w:val="22"/>
        </w:rPr>
        <w:t xml:space="preserve">. </w:t>
      </w:r>
      <w:r w:rsidR="00701CBF">
        <w:rPr>
          <w:szCs w:val="22"/>
        </w:rPr>
        <w:t xml:space="preserve">This policy supports obligations </w:t>
      </w:r>
      <w:r>
        <w:rPr>
          <w:szCs w:val="22"/>
        </w:rPr>
        <w:t>covered</w:t>
      </w:r>
      <w:r w:rsidR="00701CBF">
        <w:rPr>
          <w:szCs w:val="22"/>
        </w:rPr>
        <w:t xml:space="preserve"> in </w:t>
      </w:r>
      <w:r>
        <w:rPr>
          <w:szCs w:val="22"/>
        </w:rPr>
        <w:t xml:space="preserve">the </w:t>
      </w:r>
      <w:r w:rsidR="00701CBF">
        <w:rPr>
          <w:szCs w:val="22"/>
        </w:rPr>
        <w:t>deed of gift arrangement</w:t>
      </w:r>
      <w:r>
        <w:rPr>
          <w:szCs w:val="22"/>
        </w:rPr>
        <w:t xml:space="preserve">s with personal records donors and the transfer of custody of </w:t>
      </w:r>
      <w:r w:rsidR="00701CBF">
        <w:rPr>
          <w:szCs w:val="22"/>
        </w:rPr>
        <w:t>personal records collection</w:t>
      </w:r>
      <w:r>
        <w:rPr>
          <w:szCs w:val="22"/>
        </w:rPr>
        <w:t>s</w:t>
      </w:r>
      <w:r w:rsidR="00701CBF">
        <w:rPr>
          <w:szCs w:val="22"/>
        </w:rPr>
        <w:t>.</w:t>
      </w:r>
    </w:p>
    <w:p w:rsidR="00560E28" w:rsidRDefault="00EB5792" w:rsidP="001201FA">
      <w:pPr>
        <w:pStyle w:val="Heading1"/>
        <w:numPr>
          <w:ilvl w:val="0"/>
          <w:numId w:val="1"/>
        </w:numPr>
        <w:tabs>
          <w:tab w:val="clear" w:pos="360"/>
          <w:tab w:val="num" w:pos="709"/>
        </w:tabs>
      </w:pPr>
      <w:bookmarkStart w:id="8" w:name="_Toc435969400"/>
      <w:bookmarkStart w:id="9" w:name="_Toc435969723"/>
      <w:r>
        <w:lastRenderedPageBreak/>
        <w:t>LEGISLATIVE BASIS</w:t>
      </w:r>
      <w:bookmarkEnd w:id="8"/>
      <w:bookmarkEnd w:id="9"/>
    </w:p>
    <w:p w:rsidR="00EB5792" w:rsidRDefault="00EB5792" w:rsidP="00560E28">
      <w:pPr>
        <w:pStyle w:val="Text"/>
      </w:pPr>
      <w:r>
        <w:t>Under the</w:t>
      </w:r>
      <w:r w:rsidR="004209CD">
        <w:t xml:space="preserve"> Act</w:t>
      </w:r>
      <w:r>
        <w:t>, the Archives’ functions are to</w:t>
      </w:r>
      <w:r w:rsidR="00EB4180">
        <w:t>:</w:t>
      </w:r>
    </w:p>
    <w:p w:rsidR="00EB5792" w:rsidRDefault="002D2A42" w:rsidP="001201FA">
      <w:pPr>
        <w:pStyle w:val="Text"/>
        <w:numPr>
          <w:ilvl w:val="0"/>
          <w:numId w:val="3"/>
        </w:numPr>
      </w:pPr>
      <w:r>
        <w:t>s</w:t>
      </w:r>
      <w:r w:rsidR="00EB5792">
        <w:t>elect, care for, preserve and provide access to the archival resources of the Commonwealth; and</w:t>
      </w:r>
    </w:p>
    <w:p w:rsidR="00EB5792" w:rsidRDefault="002D2A42" w:rsidP="001201FA">
      <w:pPr>
        <w:pStyle w:val="Text"/>
        <w:numPr>
          <w:ilvl w:val="0"/>
          <w:numId w:val="3"/>
        </w:numPr>
      </w:pPr>
      <w:r>
        <w:t>s</w:t>
      </w:r>
      <w:r w:rsidR="00EB5792">
        <w:t xml:space="preserve">pecify records management </w:t>
      </w:r>
      <w:r>
        <w:t>requirements</w:t>
      </w:r>
      <w:r w:rsidR="00EB5792">
        <w:t xml:space="preserve"> for Commonwealth government agencies. </w:t>
      </w:r>
    </w:p>
    <w:p w:rsidR="002D2A42" w:rsidRDefault="00EB5792" w:rsidP="00560E28">
      <w:pPr>
        <w:pStyle w:val="Text"/>
      </w:pPr>
      <w:r>
        <w:t>Section 3C of the Act authorises the Director-General of the Archives to determine the ‘archival resources of the Commonwealth’, that is those records of continuing value to the Government</w:t>
      </w:r>
      <w:r w:rsidR="00034693">
        <w:t>,</w:t>
      </w:r>
      <w:r>
        <w:t xml:space="preserve"> the Australian community and individual citizens. </w:t>
      </w:r>
      <w:r w:rsidR="002356D3">
        <w:t xml:space="preserve">Section 27 </w:t>
      </w:r>
      <w:r w:rsidR="00034693">
        <w:t>provides</w:t>
      </w:r>
      <w:r w:rsidR="002356D3">
        <w:t xml:space="preserve"> for the transfer of </w:t>
      </w:r>
      <w:r w:rsidR="00F42638">
        <w:t>records of continuing value</w:t>
      </w:r>
      <w:r w:rsidR="002356D3">
        <w:t xml:space="preserve"> from the </w:t>
      </w:r>
      <w:r w:rsidR="00512BD3">
        <w:t xml:space="preserve">controlling </w:t>
      </w:r>
      <w:r w:rsidR="00CF6056">
        <w:t>agency</w:t>
      </w:r>
      <w:r w:rsidR="002356D3">
        <w:t xml:space="preserve"> into the care of the Archives with</w:t>
      </w:r>
      <w:r w:rsidR="005E5EA8">
        <w:t xml:space="preserve">in </w:t>
      </w:r>
      <w:r w:rsidR="00D6316F">
        <w:t xml:space="preserve">a specified </w:t>
      </w:r>
      <w:r w:rsidR="002356D3">
        <w:t xml:space="preserve">timeframe </w:t>
      </w:r>
      <w:r w:rsidR="002F72ED">
        <w:t>ie</w:t>
      </w:r>
      <w:r w:rsidR="002356D3">
        <w:t xml:space="preserve"> 15 years.</w:t>
      </w:r>
    </w:p>
    <w:p w:rsidR="00C5086D" w:rsidRPr="002250FE" w:rsidRDefault="00C5086D" w:rsidP="002250FE">
      <w:pPr>
        <w:pStyle w:val="Text"/>
      </w:pPr>
      <w:r w:rsidRPr="002250FE">
        <w:t>According to the Act, a record is in the care of the Archives if:</w:t>
      </w:r>
    </w:p>
    <w:p w:rsidR="00C5086D" w:rsidRPr="002250FE" w:rsidRDefault="00C5086D" w:rsidP="002A0D5B">
      <w:pPr>
        <w:pStyle w:val="Text"/>
        <w:ind w:left="709"/>
      </w:pPr>
      <w:r w:rsidRPr="002250FE">
        <w:t xml:space="preserve">(a) the record is in the custody of the Archives; or </w:t>
      </w:r>
    </w:p>
    <w:p w:rsidR="00C5086D" w:rsidRPr="002250FE" w:rsidRDefault="00C5086D" w:rsidP="002A0D5B">
      <w:pPr>
        <w:pStyle w:val="Text"/>
        <w:ind w:left="709"/>
      </w:pPr>
      <w:r w:rsidRPr="002250FE">
        <w:t>(b) the record is in the custody of a person in accordance with arrangements referred to in section 64</w:t>
      </w:r>
      <w:r w:rsidR="002A0D5B">
        <w:t>.</w:t>
      </w:r>
    </w:p>
    <w:p w:rsidR="002356D3" w:rsidRPr="002250FE" w:rsidRDefault="002356D3" w:rsidP="002250FE">
      <w:pPr>
        <w:pStyle w:val="Text"/>
      </w:pPr>
      <w:r w:rsidRPr="002250FE">
        <w:t xml:space="preserve">Sections 29 and 64 of the Act support a distributed custody model, with both sections providing for records to be retained in the custody of the </w:t>
      </w:r>
      <w:r w:rsidR="00512BD3">
        <w:t xml:space="preserve">controlling </w:t>
      </w:r>
      <w:r w:rsidR="00CF6056">
        <w:t>agency</w:t>
      </w:r>
      <w:r w:rsidRPr="002250FE">
        <w:t xml:space="preserve">. </w:t>
      </w:r>
      <w:r w:rsidR="00D6316F" w:rsidRPr="002250FE">
        <w:t>In addition</w:t>
      </w:r>
      <w:r w:rsidRPr="002250FE">
        <w:t xml:space="preserve">, section 64 provides for records to be transferred from the Archives’ custody to the custody of an individual or an institution (which may include the </w:t>
      </w:r>
      <w:r w:rsidR="00512BD3">
        <w:t xml:space="preserve">controlling </w:t>
      </w:r>
      <w:r w:rsidR="00CF6056">
        <w:t>agency</w:t>
      </w:r>
      <w:r w:rsidR="00661E56">
        <w:t>, another agency or a private institution</w:t>
      </w:r>
      <w:r w:rsidRPr="002250FE">
        <w:t>).</w:t>
      </w:r>
    </w:p>
    <w:p w:rsidR="002356D3" w:rsidRPr="002250FE" w:rsidRDefault="002356D3" w:rsidP="002250FE">
      <w:pPr>
        <w:pStyle w:val="Text"/>
      </w:pPr>
      <w:r w:rsidRPr="002250FE">
        <w:t>Section 29</w:t>
      </w:r>
      <w:r w:rsidR="00E35CE6">
        <w:t xml:space="preserve"> refers to records exempted from transfer to the Archives and </w:t>
      </w:r>
      <w:r w:rsidRPr="002250FE">
        <w:t>states:</w:t>
      </w:r>
    </w:p>
    <w:p w:rsidR="002356D3" w:rsidRPr="002250FE" w:rsidRDefault="002356D3" w:rsidP="001201FA">
      <w:pPr>
        <w:pStyle w:val="Text"/>
        <w:numPr>
          <w:ilvl w:val="0"/>
          <w:numId w:val="3"/>
        </w:numPr>
      </w:pPr>
      <w:r w:rsidRPr="002250FE">
        <w:t xml:space="preserve">‘A Commonwealth institution …may </w:t>
      </w:r>
      <w:r w:rsidR="007447FC" w:rsidRPr="002250FE">
        <w:t>… with</w:t>
      </w:r>
      <w:r w:rsidRPr="002250FE">
        <w:t xml:space="preserve"> the concurrence of the Director- General determine that a Commonwealth record…is not required to be transferred to the care of the Archives…’</w:t>
      </w:r>
    </w:p>
    <w:p w:rsidR="002356D3" w:rsidRPr="002250FE" w:rsidRDefault="002356D3" w:rsidP="002250FE">
      <w:pPr>
        <w:pStyle w:val="Text"/>
      </w:pPr>
      <w:r w:rsidRPr="002250FE">
        <w:t xml:space="preserve">Section 64 </w:t>
      </w:r>
      <w:r w:rsidR="00E35CE6">
        <w:t xml:space="preserve">refers to custody of records and </w:t>
      </w:r>
      <w:r w:rsidRPr="002250FE">
        <w:t>states:</w:t>
      </w:r>
    </w:p>
    <w:p w:rsidR="002356D3" w:rsidRPr="002250FE" w:rsidRDefault="002356D3" w:rsidP="001201FA">
      <w:pPr>
        <w:pStyle w:val="Text"/>
        <w:numPr>
          <w:ilvl w:val="0"/>
          <w:numId w:val="3"/>
        </w:numPr>
      </w:pPr>
      <w:r w:rsidRPr="002250FE">
        <w:t>‘..the Archives may, if the Director-General considers it appropriate to do so, make arrangements  with a person for records required to be transferred to the care of the Archives, or for material of the Archives, to be kept in the custody of the person.’</w:t>
      </w:r>
    </w:p>
    <w:p w:rsidR="002356D3" w:rsidRPr="002250FE" w:rsidRDefault="00932B09" w:rsidP="002250FE">
      <w:pPr>
        <w:pStyle w:val="Text"/>
      </w:pPr>
      <w:r>
        <w:t xml:space="preserve">In addition, </w:t>
      </w:r>
      <w:r w:rsidR="002356D3" w:rsidRPr="002250FE">
        <w:t>Section 64(2) outlines the conditions and care arrangements that must be provided by the</w:t>
      </w:r>
      <w:r w:rsidR="003414C9">
        <w:t xml:space="preserve"> </w:t>
      </w:r>
      <w:r w:rsidR="00B45C7F">
        <w:t xml:space="preserve">custodial </w:t>
      </w:r>
      <w:r w:rsidR="007447FC">
        <w:t>organisation</w:t>
      </w:r>
      <w:r w:rsidR="002356D3" w:rsidRPr="002250FE">
        <w:t xml:space="preserve">. </w:t>
      </w:r>
      <w:r w:rsidR="00034693" w:rsidRPr="002250FE">
        <w:t xml:space="preserve">This includes </w:t>
      </w:r>
      <w:r w:rsidR="00C24862" w:rsidRPr="002250FE">
        <w:t>allowing</w:t>
      </w:r>
      <w:r w:rsidR="002356D3" w:rsidRPr="002250FE">
        <w:t xml:space="preserve"> regular inspection</w:t>
      </w:r>
      <w:r w:rsidR="00C24862" w:rsidRPr="002250FE">
        <w:t>s</w:t>
      </w:r>
      <w:r w:rsidR="002356D3" w:rsidRPr="002250FE">
        <w:t xml:space="preserve"> by the Archives; en</w:t>
      </w:r>
      <w:r w:rsidR="002A0D5B">
        <w:t xml:space="preserve">abling the Archives to meet </w:t>
      </w:r>
      <w:r w:rsidR="002356D3" w:rsidRPr="002250FE">
        <w:t>obligation</w:t>
      </w:r>
      <w:r w:rsidR="00D6316F" w:rsidRPr="002250FE">
        <w:t>s under the Act</w:t>
      </w:r>
      <w:r w:rsidR="002F72ED">
        <w:t xml:space="preserve"> </w:t>
      </w:r>
      <w:r w:rsidR="002356D3" w:rsidRPr="002250FE">
        <w:t xml:space="preserve">such as access to records; and if </w:t>
      </w:r>
      <w:r w:rsidR="00D6316F" w:rsidRPr="002250FE">
        <w:t>required,</w:t>
      </w:r>
      <w:r w:rsidR="002356D3" w:rsidRPr="002250FE">
        <w:t xml:space="preserve"> transfer</w:t>
      </w:r>
      <w:r w:rsidR="00D6316F" w:rsidRPr="002250FE">
        <w:t>ring</w:t>
      </w:r>
      <w:r w:rsidR="002356D3" w:rsidRPr="002250FE">
        <w:t xml:space="preserve"> the material to the Archives. </w:t>
      </w:r>
    </w:p>
    <w:p w:rsidR="00D6316F" w:rsidRPr="002A0D5B" w:rsidRDefault="002A0D5B" w:rsidP="002A0D5B">
      <w:pPr>
        <w:pStyle w:val="Heading2"/>
      </w:pPr>
      <w:bookmarkStart w:id="10" w:name="_Toc435969401"/>
      <w:bookmarkStart w:id="11" w:name="_Toc435969724"/>
      <w:r w:rsidRPr="002A0D5B">
        <w:t xml:space="preserve">3.1 </w:t>
      </w:r>
      <w:r w:rsidR="00D6316F" w:rsidRPr="002A0D5B">
        <w:t>Policy position</w:t>
      </w:r>
      <w:bookmarkEnd w:id="10"/>
      <w:bookmarkEnd w:id="11"/>
    </w:p>
    <w:p w:rsidR="002A7483" w:rsidRPr="002250FE" w:rsidRDefault="002A7483" w:rsidP="00C30219">
      <w:pPr>
        <w:pStyle w:val="Text"/>
        <w:ind w:right="-573"/>
        <w:rPr>
          <w:szCs w:val="22"/>
        </w:rPr>
      </w:pPr>
      <w:r w:rsidRPr="002250FE">
        <w:rPr>
          <w:szCs w:val="22"/>
        </w:rPr>
        <w:t xml:space="preserve">This </w:t>
      </w:r>
      <w:r w:rsidR="00D6316F" w:rsidRPr="002250FE">
        <w:rPr>
          <w:szCs w:val="22"/>
        </w:rPr>
        <w:t>p</w:t>
      </w:r>
      <w:r w:rsidRPr="002250FE">
        <w:rPr>
          <w:szCs w:val="22"/>
        </w:rPr>
        <w:t>olicy supports the establishment of dis</w:t>
      </w:r>
      <w:r w:rsidR="00C30219" w:rsidRPr="002250FE">
        <w:rPr>
          <w:szCs w:val="22"/>
        </w:rPr>
        <w:t xml:space="preserve">tributed custody arrangements under section 64 of the Act. This provides for records </w:t>
      </w:r>
      <w:r w:rsidR="00512BD3">
        <w:rPr>
          <w:szCs w:val="22"/>
        </w:rPr>
        <w:t>to be</w:t>
      </w:r>
      <w:r w:rsidR="00C30219" w:rsidRPr="002250FE">
        <w:rPr>
          <w:szCs w:val="22"/>
        </w:rPr>
        <w:t xml:space="preserve"> retained </w:t>
      </w:r>
      <w:r w:rsidR="00A03BF1" w:rsidRPr="002250FE">
        <w:rPr>
          <w:szCs w:val="22"/>
        </w:rPr>
        <w:t xml:space="preserve">by the </w:t>
      </w:r>
      <w:r w:rsidR="00512BD3">
        <w:rPr>
          <w:szCs w:val="22"/>
        </w:rPr>
        <w:t xml:space="preserve">controlling </w:t>
      </w:r>
      <w:r w:rsidR="00CF6056">
        <w:rPr>
          <w:szCs w:val="22"/>
        </w:rPr>
        <w:t>agency</w:t>
      </w:r>
      <w:r w:rsidR="009F33A0">
        <w:rPr>
          <w:szCs w:val="22"/>
        </w:rPr>
        <w:t xml:space="preserve"> or their agent</w:t>
      </w:r>
      <w:r w:rsidR="002F72ED">
        <w:rPr>
          <w:szCs w:val="22"/>
        </w:rPr>
        <w:t>,</w:t>
      </w:r>
      <w:r w:rsidR="00C30219" w:rsidRPr="002250FE">
        <w:rPr>
          <w:szCs w:val="22"/>
        </w:rPr>
        <w:t xml:space="preserve"> as well as </w:t>
      </w:r>
      <w:r w:rsidR="002A0D5B">
        <w:rPr>
          <w:szCs w:val="22"/>
        </w:rPr>
        <w:t xml:space="preserve">the transfer of </w:t>
      </w:r>
      <w:r w:rsidR="00C30219" w:rsidRPr="002250FE">
        <w:rPr>
          <w:szCs w:val="22"/>
        </w:rPr>
        <w:t>records from the Archives to another party. It also sets out the requirements which must be met to ensure the ongoing care and preservation of, and access to, records in a distributed custody arrangement.</w:t>
      </w:r>
      <w:r w:rsidR="00F16665">
        <w:rPr>
          <w:szCs w:val="22"/>
        </w:rPr>
        <w:t xml:space="preserve"> </w:t>
      </w:r>
    </w:p>
    <w:p w:rsidR="00560E28" w:rsidRDefault="00EB5792" w:rsidP="001201FA">
      <w:pPr>
        <w:pStyle w:val="Heading1"/>
        <w:numPr>
          <w:ilvl w:val="0"/>
          <w:numId w:val="1"/>
        </w:numPr>
        <w:tabs>
          <w:tab w:val="clear" w:pos="360"/>
          <w:tab w:val="num" w:pos="709"/>
        </w:tabs>
      </w:pPr>
      <w:bookmarkStart w:id="12" w:name="_Toc435969402"/>
      <w:bookmarkStart w:id="13" w:name="_Toc435969725"/>
      <w:r>
        <w:lastRenderedPageBreak/>
        <w:t>SCOPE</w:t>
      </w:r>
      <w:bookmarkEnd w:id="12"/>
      <w:bookmarkEnd w:id="13"/>
    </w:p>
    <w:p w:rsidR="002D2A42" w:rsidRDefault="002D2A42" w:rsidP="00127420">
      <w:pPr>
        <w:pStyle w:val="Text"/>
        <w:spacing w:after="0"/>
      </w:pPr>
      <w:r w:rsidRPr="002D2A42">
        <w:t>The Policy covers records which</w:t>
      </w:r>
      <w:r w:rsidR="00D6316F">
        <w:t xml:space="preserve"> are</w:t>
      </w:r>
      <w:r w:rsidRPr="002D2A42">
        <w:t xml:space="preserve">: </w:t>
      </w:r>
    </w:p>
    <w:p w:rsidR="006C1EA7" w:rsidRDefault="002D2A42" w:rsidP="001201FA">
      <w:pPr>
        <w:pStyle w:val="Text"/>
        <w:numPr>
          <w:ilvl w:val="0"/>
          <w:numId w:val="3"/>
        </w:numPr>
      </w:pPr>
      <w:r>
        <w:t>Commonwealth government records</w:t>
      </w:r>
      <w:r w:rsidR="006C1EA7">
        <w:t xml:space="preserve"> </w:t>
      </w:r>
      <w:r>
        <w:t>of continuing value</w:t>
      </w:r>
      <w:r w:rsidR="002D4C20">
        <w:t>;</w:t>
      </w:r>
      <w:r>
        <w:t xml:space="preserve"> </w:t>
      </w:r>
      <w:r w:rsidR="00C24862">
        <w:t>or</w:t>
      </w:r>
    </w:p>
    <w:p w:rsidR="006C1EA7" w:rsidRDefault="0083192F" w:rsidP="001201FA">
      <w:pPr>
        <w:pStyle w:val="Text"/>
        <w:numPr>
          <w:ilvl w:val="0"/>
          <w:numId w:val="3"/>
        </w:numPr>
      </w:pPr>
      <w:r>
        <w:t>other</w:t>
      </w:r>
      <w:r w:rsidR="006C1EA7">
        <w:t xml:space="preserve"> archival resources of the Commonwealth </w:t>
      </w:r>
    </w:p>
    <w:p w:rsidR="008C504E" w:rsidRDefault="006C1EA7" w:rsidP="006C1EA7">
      <w:pPr>
        <w:pStyle w:val="Text"/>
      </w:pPr>
      <w:r>
        <w:t>and</w:t>
      </w:r>
      <w:r w:rsidR="00127420">
        <w:t>:</w:t>
      </w:r>
    </w:p>
    <w:p w:rsidR="002D2A42" w:rsidRDefault="002D2A42" w:rsidP="00127420">
      <w:pPr>
        <w:pStyle w:val="Text"/>
        <w:numPr>
          <w:ilvl w:val="0"/>
          <w:numId w:val="3"/>
        </w:numPr>
        <w:spacing w:after="0"/>
      </w:pPr>
      <w:r>
        <w:t>in any format</w:t>
      </w:r>
      <w:r w:rsidR="002D4C20">
        <w:t>;</w:t>
      </w:r>
      <w:r w:rsidR="00722764">
        <w:t xml:space="preserve"> and</w:t>
      </w:r>
    </w:p>
    <w:p w:rsidR="00661E56" w:rsidRDefault="005E5EA8" w:rsidP="00AD6402">
      <w:pPr>
        <w:pStyle w:val="Text"/>
        <w:numPr>
          <w:ilvl w:val="0"/>
          <w:numId w:val="7"/>
        </w:numPr>
        <w:tabs>
          <w:tab w:val="clear" w:pos="1134"/>
          <w:tab w:val="num" w:pos="1985"/>
        </w:tabs>
        <w:ind w:left="1560"/>
      </w:pPr>
      <w:r>
        <w:t xml:space="preserve">over 15 years old </w:t>
      </w:r>
      <w:r w:rsidR="00661E56">
        <w:t>(in the case of an arrangement with a controlling agency); or</w:t>
      </w:r>
    </w:p>
    <w:p w:rsidR="00C5086D" w:rsidRDefault="00661E56" w:rsidP="00AD6402">
      <w:pPr>
        <w:pStyle w:val="Text"/>
        <w:numPr>
          <w:ilvl w:val="0"/>
          <w:numId w:val="7"/>
        </w:numPr>
        <w:tabs>
          <w:tab w:val="clear" w:pos="1134"/>
          <w:tab w:val="num" w:pos="1985"/>
        </w:tabs>
        <w:ind w:left="1560"/>
      </w:pPr>
      <w:r>
        <w:t>of any age (in the case of an arrangement relating to personal records collections)</w:t>
      </w:r>
    </w:p>
    <w:p w:rsidR="00722764" w:rsidRDefault="0076316D" w:rsidP="00127420">
      <w:pPr>
        <w:pStyle w:val="Text"/>
        <w:spacing w:after="0"/>
      </w:pPr>
      <w:r>
        <w:t>w</w:t>
      </w:r>
      <w:r w:rsidR="00722764">
        <w:t>here they:</w:t>
      </w:r>
    </w:p>
    <w:p w:rsidR="00C24862" w:rsidRDefault="00722764" w:rsidP="001201FA">
      <w:pPr>
        <w:pStyle w:val="Text"/>
        <w:numPr>
          <w:ilvl w:val="0"/>
          <w:numId w:val="3"/>
        </w:numPr>
      </w:pPr>
      <w:r>
        <w:t xml:space="preserve">are in </w:t>
      </w:r>
      <w:r w:rsidR="005E5EA8">
        <w:t>the custody of a party other than the Archives;</w:t>
      </w:r>
      <w:r w:rsidR="008C0E51">
        <w:t xml:space="preserve"> </w:t>
      </w:r>
      <w:r w:rsidR="00C24862">
        <w:t>or</w:t>
      </w:r>
    </w:p>
    <w:p w:rsidR="00C24862" w:rsidRDefault="00C24862" w:rsidP="001201FA">
      <w:pPr>
        <w:pStyle w:val="Text"/>
        <w:numPr>
          <w:ilvl w:val="0"/>
          <w:numId w:val="3"/>
        </w:numPr>
      </w:pPr>
      <w:r>
        <w:t>will be transferred to the custody of a party other than the Archives</w:t>
      </w:r>
    </w:p>
    <w:p w:rsidR="00722764" w:rsidRDefault="008C0E51" w:rsidP="00E9448E">
      <w:pPr>
        <w:pStyle w:val="Text"/>
      </w:pPr>
      <w:r>
        <w:t>and</w:t>
      </w:r>
      <w:r w:rsidR="00127420">
        <w:t>:</w:t>
      </w:r>
    </w:p>
    <w:p w:rsidR="002D2A42" w:rsidRDefault="00452AFD" w:rsidP="001201FA">
      <w:pPr>
        <w:pStyle w:val="Text"/>
        <w:numPr>
          <w:ilvl w:val="0"/>
          <w:numId w:val="3"/>
        </w:numPr>
      </w:pPr>
      <w:r>
        <w:t xml:space="preserve">meet criteria for records suitable for custody </w:t>
      </w:r>
      <w:r w:rsidR="00722764">
        <w:t>by a party other than the Archive</w:t>
      </w:r>
      <w:r w:rsidR="00C24862">
        <w:t>s</w:t>
      </w:r>
      <w:r w:rsidR="00512BD3">
        <w:t>.</w:t>
      </w:r>
    </w:p>
    <w:p w:rsidR="00512BD3" w:rsidRPr="008E3343" w:rsidRDefault="00512BD3" w:rsidP="00512BD3">
      <w:pPr>
        <w:pStyle w:val="Text"/>
      </w:pPr>
      <w:r>
        <w:t>The criteria for entering into distributed custody arrangement</w:t>
      </w:r>
      <w:r w:rsidR="00555F04">
        <w:t>s</w:t>
      </w:r>
      <w:r>
        <w:t xml:space="preserve"> are defined in the implementation guidelines but</w:t>
      </w:r>
      <w:r w:rsidR="002F72ED">
        <w:t>,</w:t>
      </w:r>
      <w:r>
        <w:t xml:space="preserve"> in general</w:t>
      </w:r>
      <w:r w:rsidR="002F72ED">
        <w:t>,</w:t>
      </w:r>
      <w:r>
        <w:t xml:space="preserve"> relate to:</w:t>
      </w:r>
    </w:p>
    <w:p w:rsidR="008E3343" w:rsidRPr="008E3343" w:rsidRDefault="00555F04" w:rsidP="00AD6402">
      <w:pPr>
        <w:pStyle w:val="Text"/>
        <w:numPr>
          <w:ilvl w:val="1"/>
          <w:numId w:val="8"/>
        </w:numPr>
        <w:ind w:left="993"/>
      </w:pPr>
      <w:r>
        <w:t>c</w:t>
      </w:r>
      <w:r w:rsidR="008E3343" w:rsidRPr="008E3343">
        <w:t>osts of duplicating the technical environment in the archival setting</w:t>
      </w:r>
      <w:r w:rsidR="002A0D5B">
        <w:t>;</w:t>
      </w:r>
      <w:r w:rsidR="008E3343" w:rsidRPr="008E3343">
        <w:t xml:space="preserve"> </w:t>
      </w:r>
    </w:p>
    <w:p w:rsidR="008E3343" w:rsidRPr="008E3343" w:rsidRDefault="00555F04" w:rsidP="00AD6402">
      <w:pPr>
        <w:pStyle w:val="Text"/>
        <w:numPr>
          <w:ilvl w:val="1"/>
          <w:numId w:val="8"/>
        </w:numPr>
        <w:ind w:left="993"/>
      </w:pPr>
      <w:r>
        <w:t>c</w:t>
      </w:r>
      <w:r w:rsidR="00380487">
        <w:t xml:space="preserve">hanges in technology </w:t>
      </w:r>
      <w:r w:rsidR="00791C6B">
        <w:t xml:space="preserve">impacting on </w:t>
      </w:r>
      <w:r w:rsidR="008E3343" w:rsidRPr="008E3343">
        <w:t xml:space="preserve"> effective records management in a centralised repository</w:t>
      </w:r>
      <w:r w:rsidR="002A0D5B">
        <w:t>;</w:t>
      </w:r>
    </w:p>
    <w:p w:rsidR="00512BD3" w:rsidRDefault="00555F04" w:rsidP="00AD6402">
      <w:pPr>
        <w:pStyle w:val="Text"/>
        <w:numPr>
          <w:ilvl w:val="1"/>
          <w:numId w:val="8"/>
        </w:numPr>
        <w:ind w:left="993"/>
      </w:pPr>
      <w:r>
        <w:t>s</w:t>
      </w:r>
      <w:r w:rsidR="008E3343" w:rsidRPr="008E3343">
        <w:t xml:space="preserve">kills </w:t>
      </w:r>
      <w:r w:rsidR="00791C6B">
        <w:t>required</w:t>
      </w:r>
      <w:r w:rsidR="00791C6B" w:rsidRPr="008E3343">
        <w:t xml:space="preserve"> </w:t>
      </w:r>
      <w:r w:rsidR="008E3343" w:rsidRPr="008E3343">
        <w:t>for managing</w:t>
      </w:r>
      <w:r w:rsidR="00791C6B">
        <w:t xml:space="preserve"> or interpreting the</w:t>
      </w:r>
      <w:r w:rsidR="008E3343" w:rsidRPr="008E3343">
        <w:t xml:space="preserve"> records</w:t>
      </w:r>
      <w:r w:rsidR="002A0D5B">
        <w:t>;</w:t>
      </w:r>
      <w:r w:rsidR="00380487">
        <w:t xml:space="preserve"> </w:t>
      </w:r>
      <w:r w:rsidR="00791C6B">
        <w:t>or</w:t>
      </w:r>
    </w:p>
    <w:p w:rsidR="008E3343" w:rsidRPr="008E3343" w:rsidRDefault="00555F04" w:rsidP="00AD6402">
      <w:pPr>
        <w:pStyle w:val="Text"/>
        <w:numPr>
          <w:ilvl w:val="1"/>
          <w:numId w:val="8"/>
        </w:numPr>
        <w:ind w:left="993"/>
      </w:pPr>
      <w:r>
        <w:t>o</w:t>
      </w:r>
      <w:r w:rsidR="00FD7BE9">
        <w:t>ngoing agency need.</w:t>
      </w:r>
      <w:r w:rsidR="00512BD3">
        <w:t xml:space="preserve"> </w:t>
      </w:r>
    </w:p>
    <w:p w:rsidR="0076316D" w:rsidRDefault="0076316D" w:rsidP="002A7483">
      <w:pPr>
        <w:pStyle w:val="Text"/>
      </w:pPr>
      <w:r>
        <w:t xml:space="preserve">The </w:t>
      </w:r>
      <w:r w:rsidR="00D6316F">
        <w:t>p</w:t>
      </w:r>
      <w:r>
        <w:t>olicy excludes records which are of temporary value</w:t>
      </w:r>
      <w:r w:rsidR="00C24862">
        <w:t xml:space="preserve"> as they </w:t>
      </w:r>
      <w:r>
        <w:t xml:space="preserve">are </w:t>
      </w:r>
      <w:r w:rsidR="00C24862">
        <w:t xml:space="preserve">not </w:t>
      </w:r>
      <w:r>
        <w:t xml:space="preserve">required to be transferred to the </w:t>
      </w:r>
      <w:r w:rsidR="002A7483">
        <w:t xml:space="preserve">custody of the </w:t>
      </w:r>
      <w:r>
        <w:t>Archives</w:t>
      </w:r>
      <w:r w:rsidR="00C24862">
        <w:t>.</w:t>
      </w:r>
      <w:r>
        <w:t xml:space="preserve"> </w:t>
      </w:r>
      <w:r w:rsidR="00C24862">
        <w:t>T</w:t>
      </w:r>
      <w:r>
        <w:t xml:space="preserve">he guidance and governance provided in this policy may </w:t>
      </w:r>
      <w:r w:rsidR="00C24862">
        <w:t xml:space="preserve">however </w:t>
      </w:r>
      <w:r>
        <w:t>be useful to agencies in the management of long</w:t>
      </w:r>
      <w:r w:rsidR="00555F04">
        <w:t>-</w:t>
      </w:r>
      <w:r>
        <w:t>term temporary records which remain in their custody.</w:t>
      </w:r>
    </w:p>
    <w:p w:rsidR="002D2A42" w:rsidRDefault="002A0D5B" w:rsidP="002A7483">
      <w:pPr>
        <w:pStyle w:val="Heading2"/>
      </w:pPr>
      <w:bookmarkStart w:id="14" w:name="_Toc435969403"/>
      <w:bookmarkStart w:id="15" w:name="_Toc435969726"/>
      <w:r>
        <w:t xml:space="preserve">4.1 </w:t>
      </w:r>
      <w:r w:rsidR="00695797">
        <w:t>Definitions</w:t>
      </w:r>
      <w:bookmarkEnd w:id="14"/>
      <w:bookmarkEnd w:id="15"/>
      <w:r w:rsidR="00695797">
        <w:t xml:space="preserve"> </w:t>
      </w:r>
    </w:p>
    <w:p w:rsidR="00695797" w:rsidRDefault="005E5EA8" w:rsidP="00560E28">
      <w:pPr>
        <w:pStyle w:val="Text"/>
      </w:pPr>
      <w:r>
        <w:t>Records of c</w:t>
      </w:r>
      <w:r w:rsidR="00F012BD">
        <w:t xml:space="preserve">ontinuing value </w:t>
      </w:r>
      <w:r>
        <w:t xml:space="preserve">are those </w:t>
      </w:r>
      <w:r w:rsidR="00772A5F">
        <w:t xml:space="preserve">Commonwealth records </w:t>
      </w:r>
      <w:r>
        <w:t xml:space="preserve">which have been identified as </w:t>
      </w:r>
      <w:r w:rsidR="00701CBF">
        <w:t>‘</w:t>
      </w:r>
      <w:r>
        <w:t>a</w:t>
      </w:r>
      <w:r w:rsidR="00695797">
        <w:t xml:space="preserve">rchival resources </w:t>
      </w:r>
      <w:r w:rsidR="00701CBF">
        <w:t xml:space="preserve">of the Commonwealth’ </w:t>
      </w:r>
      <w:r w:rsidR="00695797">
        <w:t xml:space="preserve">under </w:t>
      </w:r>
      <w:r>
        <w:t xml:space="preserve">section </w:t>
      </w:r>
      <w:r w:rsidR="0076316D">
        <w:t xml:space="preserve">3C </w:t>
      </w:r>
      <w:r>
        <w:t>of</w:t>
      </w:r>
      <w:r w:rsidR="008C0E51">
        <w:t xml:space="preserve"> the Act</w:t>
      </w:r>
      <w:r>
        <w:t xml:space="preserve">. </w:t>
      </w:r>
      <w:r w:rsidR="008C0E51">
        <w:t>T</w:t>
      </w:r>
      <w:r>
        <w:t xml:space="preserve">hese records may </w:t>
      </w:r>
      <w:r w:rsidR="0076316D">
        <w:t xml:space="preserve">also </w:t>
      </w:r>
      <w:r>
        <w:t xml:space="preserve">be referred to as </w:t>
      </w:r>
      <w:r w:rsidR="00A655BC">
        <w:t>records of continuing</w:t>
      </w:r>
      <w:r w:rsidR="00772A5F">
        <w:t>, ongoing or permanent</w:t>
      </w:r>
      <w:r w:rsidR="00C24862">
        <w:t xml:space="preserve"> </w:t>
      </w:r>
      <w:r w:rsidR="00A655BC">
        <w:t>value</w:t>
      </w:r>
      <w:r w:rsidR="00C24862">
        <w:t>,</w:t>
      </w:r>
      <w:r w:rsidR="00A655BC">
        <w:t xml:space="preserve"> </w:t>
      </w:r>
      <w:r w:rsidR="00772A5F">
        <w:t>or as</w:t>
      </w:r>
      <w:r>
        <w:t xml:space="preserve"> </w:t>
      </w:r>
      <w:r w:rsidR="00772A5F">
        <w:t>‘</w:t>
      </w:r>
      <w:r>
        <w:t>RN</w:t>
      </w:r>
      <w:r w:rsidR="008C0E51">
        <w:t>A</w:t>
      </w:r>
      <w:r w:rsidR="00772A5F">
        <w:t>’</w:t>
      </w:r>
      <w:r w:rsidR="002F72ED">
        <w:t xml:space="preserve"> (R</w:t>
      </w:r>
      <w:r w:rsidR="008C0E51">
        <w:t xml:space="preserve">etain </w:t>
      </w:r>
      <w:r w:rsidR="0076316D">
        <w:t xml:space="preserve">as </w:t>
      </w:r>
      <w:r w:rsidR="002F72ED">
        <w:t>N</w:t>
      </w:r>
      <w:r w:rsidR="008C0E51">
        <w:t xml:space="preserve">ational </w:t>
      </w:r>
      <w:r w:rsidR="002F72ED">
        <w:t>A</w:t>
      </w:r>
      <w:r w:rsidR="008C0E51">
        <w:t>rchives)</w:t>
      </w:r>
      <w:r>
        <w:t xml:space="preserve">. </w:t>
      </w:r>
      <w:r w:rsidR="00701CBF">
        <w:t>This also</w:t>
      </w:r>
      <w:r w:rsidR="0083192F">
        <w:t xml:space="preserve"> </w:t>
      </w:r>
      <w:r w:rsidR="006C1EA7">
        <w:t xml:space="preserve">includes other records of national significance </w:t>
      </w:r>
      <w:r w:rsidR="00772A5F">
        <w:t>or public interest</w:t>
      </w:r>
      <w:r w:rsidR="006C1EA7">
        <w:t xml:space="preserve"> </w:t>
      </w:r>
      <w:r w:rsidR="006E5FEC">
        <w:t xml:space="preserve">(ie non–Commonwealth records) </w:t>
      </w:r>
      <w:r w:rsidR="006C1EA7">
        <w:t xml:space="preserve">which have been identified as part of the </w:t>
      </w:r>
      <w:r w:rsidR="006C1EA7" w:rsidRPr="00701CBF">
        <w:t xml:space="preserve">archival resources of the Commonwealth, for example personal records of </w:t>
      </w:r>
      <w:r w:rsidR="00694DB4">
        <w:t xml:space="preserve">individuals </w:t>
      </w:r>
      <w:r w:rsidR="00694DB4" w:rsidRPr="00701CBF">
        <w:t>who</w:t>
      </w:r>
      <w:r w:rsidR="006C1EA7" w:rsidRPr="00701CBF">
        <w:t xml:space="preserve"> have held prominent positions in the Commonwealth.</w:t>
      </w:r>
      <w:r w:rsidR="006C1EA7">
        <w:t xml:space="preserve"> </w:t>
      </w:r>
    </w:p>
    <w:p w:rsidR="00560E28" w:rsidRPr="00560E28" w:rsidRDefault="00707CA4" w:rsidP="00560E28">
      <w:pPr>
        <w:pStyle w:val="Text"/>
      </w:pPr>
      <w:r w:rsidRPr="00C24862">
        <w:rPr>
          <w:szCs w:val="22"/>
        </w:rPr>
        <w:t xml:space="preserve">Distributed </w:t>
      </w:r>
      <w:r w:rsidR="0076316D" w:rsidRPr="00C24862">
        <w:rPr>
          <w:szCs w:val="22"/>
        </w:rPr>
        <w:t>c</w:t>
      </w:r>
      <w:r w:rsidRPr="00C24862">
        <w:rPr>
          <w:szCs w:val="22"/>
        </w:rPr>
        <w:t>ustody is defined as a</w:t>
      </w:r>
      <w:r w:rsidRPr="00E9448E">
        <w:rPr>
          <w:szCs w:val="22"/>
        </w:rPr>
        <w:t xml:space="preserve">n arrangement whereby </w:t>
      </w:r>
      <w:r w:rsidR="000013C7" w:rsidRPr="00E9448E">
        <w:rPr>
          <w:szCs w:val="22"/>
        </w:rPr>
        <w:t xml:space="preserve">records </w:t>
      </w:r>
      <w:r w:rsidRPr="00E9448E">
        <w:rPr>
          <w:szCs w:val="22"/>
        </w:rPr>
        <w:t>are</w:t>
      </w:r>
      <w:r w:rsidR="00677E7D">
        <w:rPr>
          <w:szCs w:val="22"/>
        </w:rPr>
        <w:t xml:space="preserve"> managed by another party in facilities not under the control of the </w:t>
      </w:r>
      <w:r w:rsidR="000013C7" w:rsidRPr="00E9448E">
        <w:rPr>
          <w:szCs w:val="22"/>
        </w:rPr>
        <w:t>Archives</w:t>
      </w:r>
      <w:r w:rsidRPr="00E9448E">
        <w:rPr>
          <w:szCs w:val="22"/>
        </w:rPr>
        <w:t xml:space="preserve"> beyond the period where they would normally be transferred to the Archives</w:t>
      </w:r>
      <w:r w:rsidR="007447FC">
        <w:rPr>
          <w:szCs w:val="22"/>
        </w:rPr>
        <w:t xml:space="preserve"> or at the request of a </w:t>
      </w:r>
      <w:r w:rsidR="007447FC">
        <w:rPr>
          <w:szCs w:val="22"/>
        </w:rPr>
        <w:lastRenderedPageBreak/>
        <w:t>personal donor</w:t>
      </w:r>
      <w:r w:rsidRPr="00E9448E">
        <w:rPr>
          <w:szCs w:val="22"/>
        </w:rPr>
        <w:t xml:space="preserve">. </w:t>
      </w:r>
      <w:r w:rsidR="006C1EA7" w:rsidRPr="00E9448E">
        <w:rPr>
          <w:szCs w:val="22"/>
        </w:rPr>
        <w:t>It covers situations where records are retained by</w:t>
      </w:r>
      <w:r w:rsidR="005271EA">
        <w:rPr>
          <w:szCs w:val="22"/>
        </w:rPr>
        <w:t xml:space="preserve"> an</w:t>
      </w:r>
      <w:r w:rsidR="006C1EA7" w:rsidRPr="00E9448E">
        <w:rPr>
          <w:szCs w:val="22"/>
        </w:rPr>
        <w:t xml:space="preserve"> agency, as well as those where the records are </w:t>
      </w:r>
      <w:r w:rsidR="0076316D" w:rsidRPr="00E9448E">
        <w:rPr>
          <w:szCs w:val="22"/>
        </w:rPr>
        <w:t>transferred from the Archives</w:t>
      </w:r>
      <w:r w:rsidR="00512BD3">
        <w:rPr>
          <w:szCs w:val="22"/>
        </w:rPr>
        <w:t>’</w:t>
      </w:r>
      <w:r w:rsidR="0076316D" w:rsidRPr="00E9448E">
        <w:rPr>
          <w:szCs w:val="22"/>
        </w:rPr>
        <w:t xml:space="preserve"> custody to </w:t>
      </w:r>
      <w:r w:rsidR="00661E56">
        <w:rPr>
          <w:szCs w:val="22"/>
        </w:rPr>
        <w:t>a custodial organisation</w:t>
      </w:r>
      <w:r w:rsidR="0076316D" w:rsidRPr="00E9448E">
        <w:rPr>
          <w:szCs w:val="22"/>
        </w:rPr>
        <w:t>.</w:t>
      </w:r>
      <w:r w:rsidR="00772A5F" w:rsidRPr="00E9448E">
        <w:rPr>
          <w:szCs w:val="22"/>
        </w:rPr>
        <w:t xml:space="preserve"> The </w:t>
      </w:r>
      <w:r w:rsidR="00CF6056">
        <w:rPr>
          <w:szCs w:val="22"/>
        </w:rPr>
        <w:t xml:space="preserve">custodial </w:t>
      </w:r>
      <w:r w:rsidR="00661E56">
        <w:rPr>
          <w:szCs w:val="22"/>
        </w:rPr>
        <w:t xml:space="preserve">organisation </w:t>
      </w:r>
      <w:r w:rsidR="00772A5F" w:rsidRPr="00E9448E">
        <w:rPr>
          <w:szCs w:val="22"/>
        </w:rPr>
        <w:t>may be the c</w:t>
      </w:r>
      <w:r w:rsidR="00A03BF1">
        <w:rPr>
          <w:szCs w:val="22"/>
        </w:rPr>
        <w:t xml:space="preserve">reating </w:t>
      </w:r>
      <w:r w:rsidR="00512BD3">
        <w:rPr>
          <w:szCs w:val="22"/>
        </w:rPr>
        <w:t>or</w:t>
      </w:r>
      <w:r w:rsidR="005271EA">
        <w:rPr>
          <w:szCs w:val="22"/>
        </w:rPr>
        <w:t xml:space="preserve"> controlling agency</w:t>
      </w:r>
      <w:r w:rsidR="00512BD3">
        <w:rPr>
          <w:szCs w:val="22"/>
        </w:rPr>
        <w:t>,</w:t>
      </w:r>
      <w:r w:rsidR="00772A5F" w:rsidRPr="00E9448E">
        <w:rPr>
          <w:szCs w:val="22"/>
        </w:rPr>
        <w:t xml:space="preserve"> or </w:t>
      </w:r>
      <w:r w:rsidR="006B01FB">
        <w:rPr>
          <w:szCs w:val="22"/>
        </w:rPr>
        <w:t xml:space="preserve">other organisations </w:t>
      </w:r>
      <w:r w:rsidR="00772A5F" w:rsidRPr="00E9448E">
        <w:rPr>
          <w:szCs w:val="22"/>
        </w:rPr>
        <w:t xml:space="preserve">such as a </w:t>
      </w:r>
      <w:r w:rsidR="00677E7D">
        <w:rPr>
          <w:szCs w:val="22"/>
        </w:rPr>
        <w:t>community or private organisation</w:t>
      </w:r>
      <w:r w:rsidR="00772A5F" w:rsidRPr="00E9448E">
        <w:rPr>
          <w:szCs w:val="22"/>
        </w:rPr>
        <w:t>.</w:t>
      </w:r>
    </w:p>
    <w:p w:rsidR="00560E28" w:rsidRDefault="00560E28" w:rsidP="001201FA">
      <w:pPr>
        <w:pStyle w:val="Heading1"/>
        <w:numPr>
          <w:ilvl w:val="0"/>
          <w:numId w:val="1"/>
        </w:numPr>
        <w:tabs>
          <w:tab w:val="clear" w:pos="360"/>
          <w:tab w:val="num" w:pos="709"/>
        </w:tabs>
      </w:pPr>
      <w:bookmarkStart w:id="16" w:name="_Toc435969404"/>
      <w:bookmarkStart w:id="17" w:name="_Toc435969727"/>
      <w:r>
        <w:t>policy statement</w:t>
      </w:r>
      <w:bookmarkEnd w:id="16"/>
      <w:bookmarkEnd w:id="17"/>
    </w:p>
    <w:p w:rsidR="00C770C1" w:rsidRDefault="00E35CE6" w:rsidP="003112B1">
      <w:pPr>
        <w:pStyle w:val="Text"/>
      </w:pPr>
      <w:r>
        <w:t>T</w:t>
      </w:r>
      <w:r w:rsidR="00772A5F">
        <w:t xml:space="preserve">he default position as provided for under the Act is for </w:t>
      </w:r>
      <w:r w:rsidR="000013C7">
        <w:t>a</w:t>
      </w:r>
      <w:r w:rsidR="00577951">
        <w:t xml:space="preserve">ll records assessed as being of continuing value </w:t>
      </w:r>
      <w:r w:rsidR="006E5FEC">
        <w:t xml:space="preserve">to be </w:t>
      </w:r>
      <w:r w:rsidR="00577951">
        <w:t>transferred to the custody of the Archives</w:t>
      </w:r>
      <w:r w:rsidR="00772A5F">
        <w:t>.</w:t>
      </w:r>
      <w:r w:rsidR="00C770C1">
        <w:t xml:space="preserve"> </w:t>
      </w:r>
    </w:p>
    <w:p w:rsidR="00577951" w:rsidRDefault="000013C7" w:rsidP="00C30219">
      <w:pPr>
        <w:pStyle w:val="Text"/>
      </w:pPr>
      <w:r>
        <w:t>However, in certain circumstances it may be</w:t>
      </w:r>
      <w:r w:rsidR="00C30219">
        <w:t xml:space="preserve"> necessary or</w:t>
      </w:r>
      <w:r>
        <w:t xml:space="preserve"> preferable for records to </w:t>
      </w:r>
      <w:r w:rsidR="006B01FB">
        <w:t xml:space="preserve">remain with the </w:t>
      </w:r>
      <w:r w:rsidR="00512BD3">
        <w:t xml:space="preserve">controlling </w:t>
      </w:r>
      <w:r w:rsidR="00CF6056">
        <w:t>agency</w:t>
      </w:r>
      <w:r>
        <w:t xml:space="preserve"> or </w:t>
      </w:r>
      <w:r w:rsidR="00C30219">
        <w:t xml:space="preserve">to </w:t>
      </w:r>
      <w:r>
        <w:t xml:space="preserve">be transferred to </w:t>
      </w:r>
      <w:r w:rsidR="00512BD3">
        <w:t>an</w:t>
      </w:r>
      <w:r w:rsidR="006B01FB">
        <w:t>other organisation</w:t>
      </w:r>
      <w:r>
        <w:t>. T</w:t>
      </w:r>
      <w:r w:rsidR="00577951">
        <w:t xml:space="preserve">he Archives and the </w:t>
      </w:r>
      <w:r w:rsidR="00512BD3">
        <w:t xml:space="preserve">custodial </w:t>
      </w:r>
      <w:r w:rsidR="00661E56">
        <w:t>organisation</w:t>
      </w:r>
      <w:r w:rsidR="00577951">
        <w:t xml:space="preserve"> will </w:t>
      </w:r>
      <w:r>
        <w:t xml:space="preserve">then </w:t>
      </w:r>
      <w:r w:rsidR="00577951">
        <w:t>establish a distributed custody arrangement under s</w:t>
      </w:r>
      <w:r w:rsidR="002A7483">
        <w:t xml:space="preserve">ection </w:t>
      </w:r>
      <w:r w:rsidR="00577951">
        <w:t>64 of the Act.</w:t>
      </w:r>
      <w:r>
        <w:t xml:space="preserve"> </w:t>
      </w:r>
    </w:p>
    <w:p w:rsidR="0097535F" w:rsidRDefault="0097535F" w:rsidP="0097535F">
      <w:pPr>
        <w:pStyle w:val="Text"/>
        <w:spacing w:after="120"/>
        <w:ind w:right="845"/>
        <w:rPr>
          <w:szCs w:val="22"/>
        </w:rPr>
      </w:pPr>
      <w:r>
        <w:rPr>
          <w:szCs w:val="22"/>
        </w:rPr>
        <w:t>The policy:</w:t>
      </w:r>
    </w:p>
    <w:p w:rsidR="0097535F" w:rsidRPr="009F33A0" w:rsidRDefault="0097535F" w:rsidP="001201FA">
      <w:pPr>
        <w:pStyle w:val="Text"/>
        <w:numPr>
          <w:ilvl w:val="0"/>
          <w:numId w:val="3"/>
        </w:numPr>
      </w:pPr>
      <w:r w:rsidRPr="00DD0279">
        <w:t>i</w:t>
      </w:r>
      <w:r w:rsidRPr="009F33A0">
        <w:t>dentifies obligations under the Act</w:t>
      </w:r>
      <w:r w:rsidR="006E5FEC">
        <w:t>;</w:t>
      </w:r>
    </w:p>
    <w:p w:rsidR="0097535F" w:rsidRPr="009F33A0" w:rsidRDefault="0097535F" w:rsidP="001201FA">
      <w:pPr>
        <w:pStyle w:val="Text"/>
        <w:numPr>
          <w:ilvl w:val="0"/>
          <w:numId w:val="3"/>
        </w:numPr>
      </w:pPr>
      <w:r w:rsidRPr="009F33A0">
        <w:t xml:space="preserve">describes the distributed custody model supported by the Archives </w:t>
      </w:r>
      <w:r w:rsidR="006E5FEC">
        <w:t>;</w:t>
      </w:r>
    </w:p>
    <w:p w:rsidR="00CC25D2" w:rsidRDefault="0097535F" w:rsidP="001201FA">
      <w:pPr>
        <w:pStyle w:val="Text"/>
        <w:numPr>
          <w:ilvl w:val="0"/>
          <w:numId w:val="3"/>
        </w:numPr>
      </w:pPr>
      <w:r w:rsidRPr="009F33A0">
        <w:t>establishes a framework for the establishment and management of distributed custody arrangements when required</w:t>
      </w:r>
      <w:r w:rsidR="006E5FEC">
        <w:t>;</w:t>
      </w:r>
      <w:r w:rsidR="00CC25D2">
        <w:t xml:space="preserve"> </w:t>
      </w:r>
    </w:p>
    <w:p w:rsidR="006E5FEC" w:rsidRPr="006E5FEC" w:rsidRDefault="00CC25D2" w:rsidP="001201FA">
      <w:pPr>
        <w:pStyle w:val="Text"/>
        <w:numPr>
          <w:ilvl w:val="0"/>
          <w:numId w:val="3"/>
        </w:numPr>
      </w:pPr>
      <w:r w:rsidRPr="00E9448E">
        <w:rPr>
          <w:szCs w:val="22"/>
        </w:rPr>
        <w:t xml:space="preserve">specifies responsibilities </w:t>
      </w:r>
      <w:r>
        <w:rPr>
          <w:szCs w:val="22"/>
        </w:rPr>
        <w:t>of the custodia</w:t>
      </w:r>
      <w:r w:rsidR="006E5FEC">
        <w:rPr>
          <w:szCs w:val="22"/>
        </w:rPr>
        <w:t>l</w:t>
      </w:r>
      <w:r>
        <w:rPr>
          <w:szCs w:val="22"/>
        </w:rPr>
        <w:t xml:space="preserve"> organisation</w:t>
      </w:r>
      <w:r w:rsidR="006E5FEC">
        <w:rPr>
          <w:szCs w:val="22"/>
        </w:rPr>
        <w:t>;</w:t>
      </w:r>
      <w:r>
        <w:rPr>
          <w:szCs w:val="22"/>
        </w:rPr>
        <w:t xml:space="preserve"> </w:t>
      </w:r>
      <w:r w:rsidR="006E5FEC">
        <w:rPr>
          <w:szCs w:val="22"/>
        </w:rPr>
        <w:t>and</w:t>
      </w:r>
    </w:p>
    <w:p w:rsidR="0097535F" w:rsidRPr="009F33A0" w:rsidRDefault="00CC25D2" w:rsidP="001201FA">
      <w:pPr>
        <w:pStyle w:val="Text"/>
        <w:numPr>
          <w:ilvl w:val="0"/>
          <w:numId w:val="3"/>
        </w:numPr>
      </w:pPr>
      <w:r w:rsidRPr="00E9448E">
        <w:rPr>
          <w:szCs w:val="22"/>
        </w:rPr>
        <w:t>describes the role of the Archives in supporting these arrangements</w:t>
      </w:r>
      <w:r>
        <w:t>.</w:t>
      </w:r>
    </w:p>
    <w:p w:rsidR="00512BD3" w:rsidRDefault="00512BD3" w:rsidP="00C30219">
      <w:pPr>
        <w:pStyle w:val="Text"/>
      </w:pPr>
      <w:r>
        <w:t xml:space="preserve">The policy applies to all distributed custody arrangements which are entered into </w:t>
      </w:r>
      <w:r w:rsidR="00D62637">
        <w:t>from the date of approval of this policy, as well as to existing distributed custody arrangements as they are reviewed. It applies to records in all formats, whether physical or digital.</w:t>
      </w:r>
    </w:p>
    <w:p w:rsidR="002A47DA" w:rsidRPr="007B31C0" w:rsidRDefault="006E5FEC" w:rsidP="00E17518">
      <w:pPr>
        <w:pStyle w:val="Heading2"/>
      </w:pPr>
      <w:bookmarkStart w:id="18" w:name="_Toc435969405"/>
      <w:bookmarkStart w:id="19" w:name="_Toc435969728"/>
      <w:r>
        <w:t xml:space="preserve">5.1 </w:t>
      </w:r>
      <w:r w:rsidR="0016476C" w:rsidRPr="007B31C0">
        <w:t>O</w:t>
      </w:r>
      <w:r w:rsidR="000013C7" w:rsidRPr="007B31C0">
        <w:t>bligations un</w:t>
      </w:r>
      <w:r w:rsidR="002A47DA" w:rsidRPr="007B31C0">
        <w:t>der the Act</w:t>
      </w:r>
      <w:bookmarkEnd w:id="18"/>
      <w:bookmarkEnd w:id="19"/>
      <w:r w:rsidR="002A47DA" w:rsidRPr="007B31C0">
        <w:t xml:space="preserve"> </w:t>
      </w:r>
    </w:p>
    <w:p w:rsidR="00E17518" w:rsidRDefault="002A47DA" w:rsidP="003D76C0">
      <w:pPr>
        <w:pStyle w:val="Text"/>
      </w:pPr>
      <w:r>
        <w:t xml:space="preserve">Section 64 states that </w:t>
      </w:r>
      <w:r w:rsidR="000142B0">
        <w:t xml:space="preserve">arrangements </w:t>
      </w:r>
      <w:r w:rsidR="00C30219">
        <w:t>for</w:t>
      </w:r>
      <w:r w:rsidR="000142B0">
        <w:t xml:space="preserve"> records</w:t>
      </w:r>
      <w:r w:rsidR="00C30219">
        <w:t xml:space="preserve"> to be kept</w:t>
      </w:r>
      <w:r w:rsidR="000142B0">
        <w:t xml:space="preserve"> in the custody of an institution other than the Archives </w:t>
      </w:r>
      <w:r w:rsidR="002A2520">
        <w:t>must p</w:t>
      </w:r>
      <w:r w:rsidR="000142B0">
        <w:t>rovide for the care of th</w:t>
      </w:r>
      <w:r w:rsidR="00C30219">
        <w:t>at</w:t>
      </w:r>
      <w:r w:rsidR="000142B0">
        <w:t xml:space="preserve"> material</w:t>
      </w:r>
      <w:r w:rsidR="002A2520">
        <w:t xml:space="preserve">. </w:t>
      </w:r>
      <w:r w:rsidR="00806A86">
        <w:t xml:space="preserve">As defined in section 37, care </w:t>
      </w:r>
      <w:r w:rsidR="00C30219">
        <w:t>includes</w:t>
      </w:r>
      <w:r w:rsidR="00806A86">
        <w:t xml:space="preserve"> c</w:t>
      </w:r>
      <w:r w:rsidR="00FA6DDD">
        <w:t>ustody</w:t>
      </w:r>
      <w:r w:rsidR="00806A86">
        <w:t>, p</w:t>
      </w:r>
      <w:r w:rsidR="00526B33" w:rsidRPr="006A3F97">
        <w:t>reservation</w:t>
      </w:r>
      <w:r w:rsidR="00526B33">
        <w:t xml:space="preserve"> </w:t>
      </w:r>
      <w:r w:rsidR="00806A86">
        <w:t>and a</w:t>
      </w:r>
      <w:r w:rsidR="00E17518">
        <w:t>ccess</w:t>
      </w:r>
      <w:r w:rsidR="00806A86">
        <w:t>.</w:t>
      </w:r>
    </w:p>
    <w:p w:rsidR="00E17518" w:rsidRDefault="00E17518" w:rsidP="00806A86">
      <w:pPr>
        <w:pStyle w:val="Heading3"/>
      </w:pPr>
      <w:bookmarkStart w:id="20" w:name="_Toc435969406"/>
      <w:bookmarkStart w:id="21" w:name="_Toc435969729"/>
      <w:r>
        <w:t>Custody</w:t>
      </w:r>
      <w:bookmarkEnd w:id="20"/>
      <w:bookmarkEnd w:id="21"/>
    </w:p>
    <w:p w:rsidR="00E17518" w:rsidRPr="0098654E" w:rsidRDefault="00791C6B" w:rsidP="00806A86">
      <w:pPr>
        <w:pStyle w:val="Text"/>
      </w:pPr>
      <w:r>
        <w:t>C</w:t>
      </w:r>
      <w:r w:rsidR="0098654E">
        <w:t xml:space="preserve">ustody relates to the requirement to keep </w:t>
      </w:r>
      <w:r w:rsidR="00D83A92" w:rsidRPr="0098654E">
        <w:t xml:space="preserve">records of continuing value safe and in conditions that </w:t>
      </w:r>
      <w:r w:rsidR="0098654E">
        <w:t>support long</w:t>
      </w:r>
      <w:r w:rsidR="00555F04">
        <w:t>-</w:t>
      </w:r>
      <w:r w:rsidR="0098654E">
        <w:t>term preservation and access</w:t>
      </w:r>
      <w:r w:rsidR="00D83A92" w:rsidRPr="0098654E">
        <w:t xml:space="preserve">. </w:t>
      </w:r>
    </w:p>
    <w:p w:rsidR="00E17518" w:rsidRDefault="00E17518" w:rsidP="00806A86">
      <w:pPr>
        <w:pStyle w:val="Heading3"/>
      </w:pPr>
      <w:bookmarkStart w:id="22" w:name="_Toc435969407"/>
      <w:bookmarkStart w:id="23" w:name="_Toc435969730"/>
      <w:r>
        <w:t>Preservation</w:t>
      </w:r>
      <w:bookmarkEnd w:id="22"/>
      <w:bookmarkEnd w:id="23"/>
    </w:p>
    <w:p w:rsidR="00806A86" w:rsidRPr="0098654E" w:rsidRDefault="00791C6B" w:rsidP="00806A86">
      <w:pPr>
        <w:pStyle w:val="Text"/>
      </w:pPr>
      <w:r>
        <w:t>R</w:t>
      </w:r>
      <w:r w:rsidR="00D83A92" w:rsidRPr="0098654E">
        <w:t>ecords of continuing value must be preserved into the future. This includes protecti</w:t>
      </w:r>
      <w:r w:rsidR="0098654E">
        <w:t>ng</w:t>
      </w:r>
      <w:r w:rsidR="00D83A92" w:rsidRPr="0098654E">
        <w:t xml:space="preserve"> the records</w:t>
      </w:r>
      <w:r w:rsidR="00806A86" w:rsidRPr="0098654E">
        <w:t xml:space="preserve"> from damage or alteration</w:t>
      </w:r>
      <w:r w:rsidR="00D83A92" w:rsidRPr="0098654E">
        <w:t xml:space="preserve">. </w:t>
      </w:r>
    </w:p>
    <w:p w:rsidR="00806A86" w:rsidRDefault="00806A86" w:rsidP="00806A86">
      <w:pPr>
        <w:pStyle w:val="Heading3"/>
      </w:pPr>
      <w:bookmarkStart w:id="24" w:name="_Toc435969408"/>
      <w:bookmarkStart w:id="25" w:name="_Toc435969731"/>
      <w:r>
        <w:t>Access</w:t>
      </w:r>
      <w:bookmarkEnd w:id="24"/>
      <w:bookmarkEnd w:id="25"/>
    </w:p>
    <w:p w:rsidR="00806A86" w:rsidRPr="0098654E" w:rsidRDefault="00D83A92" w:rsidP="00806A86">
      <w:pPr>
        <w:pStyle w:val="Text"/>
      </w:pPr>
      <w:r w:rsidRPr="0098654E">
        <w:t xml:space="preserve">Enabling public access to records of continuing value is essential to the objectives of the Act. </w:t>
      </w:r>
      <w:r w:rsidR="00F16665" w:rsidRPr="0098654E">
        <w:t>D</w:t>
      </w:r>
      <w:r w:rsidRPr="0098654E">
        <w:t xml:space="preserve">istributed </w:t>
      </w:r>
      <w:r w:rsidR="00FB187D" w:rsidRPr="0098654E">
        <w:t>custody</w:t>
      </w:r>
      <w:r w:rsidRPr="0098654E">
        <w:t xml:space="preserve"> arrangements must support access to material and provide </w:t>
      </w:r>
      <w:r w:rsidR="00F16665" w:rsidRPr="0098654E">
        <w:t xml:space="preserve">appropriate mechanisms to enable </w:t>
      </w:r>
      <w:r w:rsidR="0098654E">
        <w:t xml:space="preserve">the </w:t>
      </w:r>
      <w:r w:rsidR="00F16665" w:rsidRPr="0098654E">
        <w:t xml:space="preserve">Archives to fulfil its </w:t>
      </w:r>
      <w:r w:rsidR="00791C6B">
        <w:t xml:space="preserve">access </w:t>
      </w:r>
      <w:r w:rsidR="00F16665" w:rsidRPr="0098654E">
        <w:t xml:space="preserve">obligations </w:t>
      </w:r>
      <w:r w:rsidR="00555F04">
        <w:t xml:space="preserve">under </w:t>
      </w:r>
      <w:r w:rsidR="00791C6B">
        <w:t>the Act.</w:t>
      </w:r>
      <w:r w:rsidR="00F16665" w:rsidRPr="0098654E">
        <w:t xml:space="preserve"> </w:t>
      </w:r>
    </w:p>
    <w:p w:rsidR="0030480B" w:rsidRDefault="0030480B" w:rsidP="0030480B">
      <w:pPr>
        <w:pStyle w:val="Heading3"/>
      </w:pPr>
      <w:bookmarkStart w:id="26" w:name="_Toc435969409"/>
      <w:bookmarkStart w:id="27" w:name="_Toc435969732"/>
      <w:r>
        <w:lastRenderedPageBreak/>
        <w:t>Inspection</w:t>
      </w:r>
      <w:bookmarkEnd w:id="26"/>
      <w:bookmarkEnd w:id="27"/>
    </w:p>
    <w:p w:rsidR="0030480B" w:rsidRPr="0098654E" w:rsidRDefault="00075515" w:rsidP="0030480B">
      <w:pPr>
        <w:pStyle w:val="Text"/>
      </w:pPr>
      <w:r>
        <w:t>D</w:t>
      </w:r>
      <w:r w:rsidR="009518D2" w:rsidRPr="0098654E">
        <w:t>istributed custody arra</w:t>
      </w:r>
      <w:r w:rsidR="00CF6056" w:rsidRPr="0098654E">
        <w:t>ng</w:t>
      </w:r>
      <w:r w:rsidR="009518D2" w:rsidRPr="0098654E">
        <w:t xml:space="preserve">ements </w:t>
      </w:r>
      <w:r w:rsidR="00CF6056" w:rsidRPr="0098654E">
        <w:t xml:space="preserve">must </w:t>
      </w:r>
      <w:r w:rsidR="00295DFD" w:rsidRPr="0098654E">
        <w:t xml:space="preserve">provide </w:t>
      </w:r>
      <w:r w:rsidR="00723C50" w:rsidRPr="0098654E">
        <w:t>for</w:t>
      </w:r>
      <w:r w:rsidR="00295DFD" w:rsidRPr="0098654E">
        <w:t xml:space="preserve"> the regular inspection of materials in the </w:t>
      </w:r>
      <w:r w:rsidR="00CF6056" w:rsidRPr="0098654E">
        <w:t xml:space="preserve">custody </w:t>
      </w:r>
      <w:r w:rsidR="006A3EBD" w:rsidRPr="0098654E">
        <w:t>of others</w:t>
      </w:r>
      <w:r w:rsidR="00295DFD" w:rsidRPr="0098654E">
        <w:t xml:space="preserve"> </w:t>
      </w:r>
      <w:r w:rsidR="00CF6056" w:rsidRPr="0098654E">
        <w:t xml:space="preserve">to ensure it is being properly cared for. Such inspections enable </w:t>
      </w:r>
      <w:r w:rsidR="006E5FEC">
        <w:t xml:space="preserve">the </w:t>
      </w:r>
      <w:r w:rsidR="00CF6056" w:rsidRPr="0098654E">
        <w:t xml:space="preserve">Archives to meet its obligations under </w:t>
      </w:r>
      <w:r>
        <w:t>the Act</w:t>
      </w:r>
      <w:r w:rsidR="00CF6056" w:rsidRPr="0098654E">
        <w:t xml:space="preserve"> and ensure conditions support access and preservation requirements. </w:t>
      </w:r>
    </w:p>
    <w:p w:rsidR="0030480B" w:rsidRDefault="0030480B" w:rsidP="0030480B">
      <w:pPr>
        <w:pStyle w:val="Heading3"/>
      </w:pPr>
      <w:bookmarkStart w:id="28" w:name="_Toc435969410"/>
      <w:bookmarkStart w:id="29" w:name="_Toc435969733"/>
      <w:r>
        <w:t>Other obligations</w:t>
      </w:r>
      <w:bookmarkEnd w:id="28"/>
      <w:bookmarkEnd w:id="29"/>
    </w:p>
    <w:p w:rsidR="0030480B" w:rsidRPr="0098654E" w:rsidRDefault="00556E55" w:rsidP="0030480B">
      <w:pPr>
        <w:pStyle w:val="Text"/>
      </w:pPr>
      <w:r w:rsidRPr="0098654E">
        <w:t>Distributed custody a</w:t>
      </w:r>
      <w:r w:rsidR="00295DFD" w:rsidRPr="0098654E">
        <w:t>rrangements must not prevent the Archives from meeting its regulatory responsibilities</w:t>
      </w:r>
      <w:r w:rsidR="00075515">
        <w:t>.</w:t>
      </w:r>
      <w:r w:rsidR="00FD7BE9">
        <w:t xml:space="preserve"> </w:t>
      </w:r>
      <w:r w:rsidR="00075515">
        <w:t>T</w:t>
      </w:r>
      <w:r w:rsidR="00295DFD" w:rsidRPr="0098654E">
        <w:t xml:space="preserve">he terms and conditions included in each agreement will reflect this </w:t>
      </w:r>
      <w:r w:rsidR="00723C50" w:rsidRPr="0098654E">
        <w:t>requirement</w:t>
      </w:r>
      <w:r w:rsidRPr="0098654E">
        <w:t xml:space="preserve">. </w:t>
      </w:r>
    </w:p>
    <w:p w:rsidR="00C13FF9" w:rsidRPr="00C13FF9" w:rsidRDefault="00B665D3" w:rsidP="00C13FF9">
      <w:pPr>
        <w:pStyle w:val="Text"/>
      </w:pPr>
      <w:r>
        <w:t xml:space="preserve">Under a distributed custody </w:t>
      </w:r>
      <w:r w:rsidR="00806A86">
        <w:t>arrangement</w:t>
      </w:r>
      <w:r>
        <w:t xml:space="preserve">, both </w:t>
      </w:r>
      <w:r w:rsidR="00806A86">
        <w:t xml:space="preserve">the </w:t>
      </w:r>
      <w:r>
        <w:t xml:space="preserve">Archives and </w:t>
      </w:r>
      <w:r w:rsidR="00806A86">
        <w:t>the</w:t>
      </w:r>
      <w:r w:rsidR="003414C9">
        <w:t xml:space="preserve"> </w:t>
      </w:r>
      <w:r w:rsidR="00CF6056">
        <w:t xml:space="preserve">custodial </w:t>
      </w:r>
      <w:r w:rsidR="00B94E1A">
        <w:t>organisation</w:t>
      </w:r>
      <w:r w:rsidR="00806A86">
        <w:t xml:space="preserve"> </w:t>
      </w:r>
      <w:r>
        <w:t>have responsibilities to ensure</w:t>
      </w:r>
      <w:r w:rsidR="00772A5F">
        <w:t xml:space="preserve"> the records are properly cared for</w:t>
      </w:r>
      <w:r w:rsidR="00075515">
        <w:t>,</w:t>
      </w:r>
      <w:r w:rsidR="00772A5F">
        <w:t xml:space="preserve"> and</w:t>
      </w:r>
      <w:r>
        <w:t xml:space="preserve"> obligations </w:t>
      </w:r>
      <w:r w:rsidR="00772A5F">
        <w:t xml:space="preserve">under the Act </w:t>
      </w:r>
      <w:r>
        <w:t xml:space="preserve">are met. </w:t>
      </w:r>
      <w:r w:rsidR="00806A86">
        <w:t>The d</w:t>
      </w:r>
      <w:r>
        <w:t xml:space="preserve">istributed custody model and framework </w:t>
      </w:r>
      <w:r w:rsidR="00772A5F">
        <w:t xml:space="preserve">below </w:t>
      </w:r>
      <w:r w:rsidR="00806A86">
        <w:t>outline the</w:t>
      </w:r>
      <w:r>
        <w:t xml:space="preserve"> </w:t>
      </w:r>
      <w:r w:rsidR="002A47DA">
        <w:t>responsibilities</w:t>
      </w:r>
      <w:r w:rsidR="00806A86">
        <w:t xml:space="preserve"> of each party to ensure these obligations can be met.</w:t>
      </w:r>
    </w:p>
    <w:p w:rsidR="00332519" w:rsidRPr="00332519" w:rsidRDefault="0061239E" w:rsidP="004A0B44">
      <w:pPr>
        <w:pStyle w:val="Heading2"/>
      </w:pPr>
      <w:bookmarkStart w:id="30" w:name="_Toc435969411"/>
      <w:bookmarkStart w:id="31" w:name="_Toc435969734"/>
      <w:r>
        <w:t xml:space="preserve">5.2 </w:t>
      </w:r>
      <w:r w:rsidR="003B26C3">
        <w:t>D</w:t>
      </w:r>
      <w:r w:rsidR="00C13FF9">
        <w:t>istributed custody model</w:t>
      </w:r>
      <w:bookmarkEnd w:id="30"/>
      <w:bookmarkEnd w:id="31"/>
    </w:p>
    <w:p w:rsidR="00E80915" w:rsidRDefault="00A97E5B" w:rsidP="00C33D06">
      <w:pPr>
        <w:pStyle w:val="Text"/>
        <w:rPr>
          <w:rFonts w:cs="Book Antiqua"/>
        </w:rPr>
      </w:pPr>
      <w:r>
        <w:rPr>
          <w:rFonts w:cs="Book Antiqua"/>
        </w:rPr>
        <w:t>The Archives</w:t>
      </w:r>
      <w:r w:rsidR="0098654E">
        <w:rPr>
          <w:rFonts w:cs="Book Antiqua"/>
        </w:rPr>
        <w:t>’</w:t>
      </w:r>
      <w:r>
        <w:rPr>
          <w:rFonts w:cs="Book Antiqua"/>
        </w:rPr>
        <w:t xml:space="preserve"> custody model is a </w:t>
      </w:r>
      <w:r w:rsidR="00F24A10">
        <w:rPr>
          <w:rFonts w:cs="Book Antiqua"/>
        </w:rPr>
        <w:t>‘</w:t>
      </w:r>
      <w:r>
        <w:rPr>
          <w:rFonts w:cs="Book Antiqua"/>
        </w:rPr>
        <w:t>centralised model</w:t>
      </w:r>
      <w:r w:rsidR="00F24A10">
        <w:rPr>
          <w:rFonts w:cs="Book Antiqua"/>
        </w:rPr>
        <w:t>’</w:t>
      </w:r>
      <w:r w:rsidR="00F24A10">
        <w:t xml:space="preserve"> as defined by </w:t>
      </w:r>
      <w:r w:rsidR="0098654E">
        <w:t>the Council of Australasian Archives and Records Authorities (</w:t>
      </w:r>
      <w:r w:rsidR="00F24A10">
        <w:t>CAARA</w:t>
      </w:r>
      <w:r w:rsidR="0098654E">
        <w:t>)</w:t>
      </w:r>
      <w:r w:rsidR="00F24A10">
        <w:rPr>
          <w:rStyle w:val="FootnoteReference"/>
          <w:lang w:val="en-US"/>
        </w:rPr>
        <w:footnoteReference w:id="1"/>
      </w:r>
      <w:r w:rsidR="00F85865">
        <w:t xml:space="preserve">. </w:t>
      </w:r>
      <w:r w:rsidR="00E80915">
        <w:t>The centralised model means that t</w:t>
      </w:r>
      <w:r>
        <w:rPr>
          <w:rFonts w:cs="Book Antiqua"/>
        </w:rPr>
        <w:t xml:space="preserve">he majority of records of continuing value </w:t>
      </w:r>
      <w:r w:rsidR="00F85865">
        <w:rPr>
          <w:rFonts w:cs="Book Antiqua"/>
        </w:rPr>
        <w:t xml:space="preserve">are </w:t>
      </w:r>
      <w:r w:rsidR="005F29D6">
        <w:rPr>
          <w:rFonts w:cs="Book Antiqua"/>
        </w:rPr>
        <w:t xml:space="preserve">transferred to the Archives when they fall out of regular business use, or at the latest, within 15 years from the date of creation. </w:t>
      </w:r>
    </w:p>
    <w:p w:rsidR="00A97E5B" w:rsidRDefault="005F29D6" w:rsidP="0061239E">
      <w:pPr>
        <w:pStyle w:val="Text"/>
      </w:pPr>
      <w:r>
        <w:rPr>
          <w:rFonts w:cs="Book Antiqua"/>
        </w:rPr>
        <w:t xml:space="preserve">By </w:t>
      </w:r>
      <w:r w:rsidR="009F33A0">
        <w:rPr>
          <w:rFonts w:cs="Book Antiqua"/>
        </w:rPr>
        <w:t>exception</w:t>
      </w:r>
      <w:r w:rsidR="00F85865">
        <w:rPr>
          <w:rFonts w:cs="Book Antiqua"/>
        </w:rPr>
        <w:t>,</w:t>
      </w:r>
      <w:r>
        <w:rPr>
          <w:rFonts w:cs="Book Antiqua"/>
        </w:rPr>
        <w:t xml:space="preserve"> </w:t>
      </w:r>
      <w:r w:rsidR="00A97E5B">
        <w:rPr>
          <w:rFonts w:cs="Book Antiqua"/>
        </w:rPr>
        <w:t xml:space="preserve">some records </w:t>
      </w:r>
      <w:r>
        <w:rPr>
          <w:rFonts w:cs="Book Antiqua"/>
        </w:rPr>
        <w:t xml:space="preserve">are </w:t>
      </w:r>
      <w:r w:rsidR="00F24A10">
        <w:rPr>
          <w:rFonts w:cs="Book Antiqua"/>
        </w:rPr>
        <w:t xml:space="preserve">managed under </w:t>
      </w:r>
      <w:r w:rsidR="00A97E5B">
        <w:rPr>
          <w:rFonts w:cs="Book Antiqua"/>
        </w:rPr>
        <w:t xml:space="preserve">distributed custody arrangements. </w:t>
      </w:r>
      <w:r w:rsidR="00A97E5B">
        <w:t xml:space="preserve">CAARA identifies three models for distributed custody arrangements where </w:t>
      </w:r>
      <w:r w:rsidR="002250FE">
        <w:t>records of continuing value</w:t>
      </w:r>
      <w:r w:rsidR="00A97E5B">
        <w:t xml:space="preserve"> are not held by the archival authority. These are: </w:t>
      </w:r>
    </w:p>
    <w:p w:rsidR="00A97E5B" w:rsidRDefault="00A97E5B" w:rsidP="001201FA">
      <w:pPr>
        <w:pStyle w:val="Text"/>
        <w:numPr>
          <w:ilvl w:val="0"/>
          <w:numId w:val="5"/>
        </w:numPr>
      </w:pPr>
      <w:r>
        <w:t>Single agency (</w:t>
      </w:r>
      <w:r w:rsidR="00E80915">
        <w:t xml:space="preserve">records </w:t>
      </w:r>
      <w:r>
        <w:t>remain with the creating agency to support business needs)</w:t>
      </w:r>
    </w:p>
    <w:p w:rsidR="00A97E5B" w:rsidRDefault="00A97E5B" w:rsidP="001201FA">
      <w:pPr>
        <w:pStyle w:val="Text"/>
        <w:numPr>
          <w:ilvl w:val="0"/>
          <w:numId w:val="5"/>
        </w:numPr>
      </w:pPr>
      <w:r>
        <w:t>Regional repository (records of a number of agencies are co-located in a regional area)</w:t>
      </w:r>
    </w:p>
    <w:p w:rsidR="00A97E5B" w:rsidRDefault="00A97E5B" w:rsidP="001201FA">
      <w:pPr>
        <w:pStyle w:val="Text"/>
        <w:numPr>
          <w:ilvl w:val="0"/>
          <w:numId w:val="5"/>
        </w:numPr>
      </w:pPr>
      <w:r>
        <w:t>Private / community organisation (usually not-for profit, non-government organisations)</w:t>
      </w:r>
    </w:p>
    <w:p w:rsidR="00A97E5B" w:rsidRDefault="00A97E5B" w:rsidP="00A97E5B">
      <w:pPr>
        <w:pStyle w:val="Text"/>
      </w:pPr>
      <w:r>
        <w:t xml:space="preserve">The Archives </w:t>
      </w:r>
      <w:r w:rsidR="00127420">
        <w:t xml:space="preserve">current </w:t>
      </w:r>
      <w:r w:rsidR="00F85865">
        <w:t xml:space="preserve">distributed custody model </w:t>
      </w:r>
      <w:r>
        <w:t xml:space="preserve">supports the single agency and private / community organisation models. Future adoption of a regional repository </w:t>
      </w:r>
      <w:r w:rsidR="00555F04">
        <w:t xml:space="preserve">model </w:t>
      </w:r>
      <w:r>
        <w:t xml:space="preserve">is not </w:t>
      </w:r>
      <w:r w:rsidR="00F85865">
        <w:t>excluded</w:t>
      </w:r>
      <w:r>
        <w:t>.</w:t>
      </w:r>
    </w:p>
    <w:p w:rsidR="0063783F" w:rsidRDefault="0030480B" w:rsidP="00560E28">
      <w:pPr>
        <w:pStyle w:val="Text"/>
        <w:spacing w:after="120"/>
        <w:ind w:right="845"/>
        <w:rPr>
          <w:rFonts w:cs="Book Antiqua"/>
        </w:rPr>
      </w:pPr>
      <w:r>
        <w:rPr>
          <w:rFonts w:cs="Book Antiqua"/>
        </w:rPr>
        <w:t>The</w:t>
      </w:r>
      <w:r w:rsidR="005603A5">
        <w:rPr>
          <w:rFonts w:cs="Book Antiqua"/>
        </w:rPr>
        <w:t xml:space="preserve"> Archives</w:t>
      </w:r>
      <w:r>
        <w:rPr>
          <w:rFonts w:cs="Book Antiqua"/>
        </w:rPr>
        <w:t xml:space="preserve"> </w:t>
      </w:r>
      <w:r w:rsidR="000D63EF">
        <w:rPr>
          <w:rFonts w:cs="Book Antiqua"/>
        </w:rPr>
        <w:t xml:space="preserve">custody </w:t>
      </w:r>
      <w:r>
        <w:rPr>
          <w:rFonts w:cs="Book Antiqua"/>
        </w:rPr>
        <w:t xml:space="preserve">model </w:t>
      </w:r>
      <w:r w:rsidR="0098654E">
        <w:rPr>
          <w:rFonts w:cs="Book Antiqua"/>
        </w:rPr>
        <w:t xml:space="preserve">provides for </w:t>
      </w:r>
      <w:r w:rsidR="00927440">
        <w:rPr>
          <w:rFonts w:cs="Book Antiqua"/>
        </w:rPr>
        <w:t xml:space="preserve">exceptions </w:t>
      </w:r>
      <w:r>
        <w:rPr>
          <w:rFonts w:cs="Book Antiqua"/>
        </w:rPr>
        <w:t xml:space="preserve">to be </w:t>
      </w:r>
      <w:r w:rsidR="00927440">
        <w:rPr>
          <w:rFonts w:cs="Book Antiqua"/>
        </w:rPr>
        <w:t xml:space="preserve">made where </w:t>
      </w:r>
      <w:r w:rsidR="00701CBF">
        <w:rPr>
          <w:rFonts w:cs="Book Antiqua"/>
        </w:rPr>
        <w:t>necessary</w:t>
      </w:r>
      <w:r w:rsidR="005F29D6">
        <w:rPr>
          <w:rFonts w:cs="Book Antiqua"/>
        </w:rPr>
        <w:t xml:space="preserve"> and for arrangements for the management of records to be formally agreed upon and documented. </w:t>
      </w:r>
      <w:r>
        <w:rPr>
          <w:rFonts w:cs="Book Antiqua"/>
        </w:rPr>
        <w:t>An essential element of th</w:t>
      </w:r>
      <w:r w:rsidR="00563006">
        <w:rPr>
          <w:rFonts w:cs="Book Antiqua"/>
        </w:rPr>
        <w:t>is</w:t>
      </w:r>
      <w:r>
        <w:rPr>
          <w:rFonts w:cs="Book Antiqua"/>
        </w:rPr>
        <w:t xml:space="preserve"> model is that the </w:t>
      </w:r>
      <w:r w:rsidR="0063783F">
        <w:rPr>
          <w:rFonts w:cs="Book Antiqua"/>
        </w:rPr>
        <w:t>Archives</w:t>
      </w:r>
      <w:r>
        <w:rPr>
          <w:rFonts w:cs="Book Antiqua"/>
        </w:rPr>
        <w:t xml:space="preserve"> retains</w:t>
      </w:r>
      <w:r w:rsidR="0063783F">
        <w:rPr>
          <w:rFonts w:cs="Book Antiqua"/>
        </w:rPr>
        <w:t xml:space="preserve"> </w:t>
      </w:r>
      <w:r w:rsidR="0032251C">
        <w:rPr>
          <w:rFonts w:cs="Book Antiqua"/>
        </w:rPr>
        <w:t xml:space="preserve">ultimate control of, and </w:t>
      </w:r>
      <w:r w:rsidR="0063783F">
        <w:rPr>
          <w:rFonts w:cs="Book Antiqua"/>
        </w:rPr>
        <w:t>responsibil</w:t>
      </w:r>
      <w:r>
        <w:rPr>
          <w:rFonts w:cs="Book Antiqua"/>
        </w:rPr>
        <w:t>ity for</w:t>
      </w:r>
      <w:r w:rsidR="00075515">
        <w:rPr>
          <w:rFonts w:cs="Book Antiqua"/>
        </w:rPr>
        <w:t>,</w:t>
      </w:r>
      <w:r>
        <w:rPr>
          <w:rFonts w:cs="Book Antiqua"/>
        </w:rPr>
        <w:t xml:space="preserve"> all </w:t>
      </w:r>
      <w:r w:rsidR="005F29D6">
        <w:rPr>
          <w:rFonts w:cs="Book Antiqua"/>
        </w:rPr>
        <w:t xml:space="preserve">records of continuing value including those </w:t>
      </w:r>
      <w:r w:rsidR="0063783F">
        <w:rPr>
          <w:rFonts w:cs="Book Antiqua"/>
        </w:rPr>
        <w:t>not in the Archives</w:t>
      </w:r>
      <w:r w:rsidR="00927440">
        <w:rPr>
          <w:rFonts w:cs="Book Antiqua"/>
        </w:rPr>
        <w:t>’</w:t>
      </w:r>
      <w:r w:rsidR="0063783F">
        <w:rPr>
          <w:rFonts w:cs="Book Antiqua"/>
        </w:rPr>
        <w:t xml:space="preserve"> custod</w:t>
      </w:r>
      <w:r w:rsidR="005F29D6">
        <w:rPr>
          <w:rFonts w:cs="Book Antiqua"/>
        </w:rPr>
        <w:t>y</w:t>
      </w:r>
      <w:r w:rsidR="0063783F">
        <w:rPr>
          <w:rFonts w:cs="Book Antiqua"/>
        </w:rPr>
        <w:t>.</w:t>
      </w:r>
      <w:r w:rsidR="00633437">
        <w:rPr>
          <w:rFonts w:cs="Book Antiqua"/>
        </w:rPr>
        <w:t xml:space="preserve"> </w:t>
      </w:r>
      <w:r w:rsidR="00661E56">
        <w:rPr>
          <w:rFonts w:cs="Book Antiqua"/>
        </w:rPr>
        <w:t>This also extends to the valuation of records</w:t>
      </w:r>
      <w:r w:rsidR="0061239E">
        <w:rPr>
          <w:rFonts w:cs="Book Antiqua"/>
        </w:rPr>
        <w:t>,</w:t>
      </w:r>
      <w:r w:rsidR="00661E56">
        <w:rPr>
          <w:rFonts w:cs="Book Antiqua"/>
        </w:rPr>
        <w:t xml:space="preserve"> that is, the Archives will account for the value of </w:t>
      </w:r>
      <w:r w:rsidR="00701CBF">
        <w:rPr>
          <w:rFonts w:cs="Book Antiqua"/>
        </w:rPr>
        <w:t>records</w:t>
      </w:r>
      <w:r w:rsidR="00661E56">
        <w:rPr>
          <w:rFonts w:cs="Book Antiqua"/>
        </w:rPr>
        <w:t xml:space="preserve"> </w:t>
      </w:r>
      <w:r w:rsidR="0061239E">
        <w:rPr>
          <w:rFonts w:cs="Book Antiqua"/>
        </w:rPr>
        <w:t>net held in its custody</w:t>
      </w:r>
      <w:r w:rsidR="00661E56">
        <w:rPr>
          <w:rFonts w:cs="Book Antiqua"/>
        </w:rPr>
        <w:t xml:space="preserve"> in its financial statements.</w:t>
      </w:r>
    </w:p>
    <w:p w:rsidR="0042234F" w:rsidRDefault="0061239E" w:rsidP="004A0B44">
      <w:pPr>
        <w:pStyle w:val="Heading2"/>
      </w:pPr>
      <w:bookmarkStart w:id="32" w:name="_Toc435969412"/>
      <w:bookmarkStart w:id="33" w:name="_Toc435969735"/>
      <w:r>
        <w:lastRenderedPageBreak/>
        <w:t xml:space="preserve">5.3 </w:t>
      </w:r>
      <w:r w:rsidR="003B26C3">
        <w:t>D</w:t>
      </w:r>
      <w:r w:rsidR="00DA2335">
        <w:t>istributed custody framework</w:t>
      </w:r>
      <w:bookmarkEnd w:id="32"/>
      <w:bookmarkEnd w:id="33"/>
      <w:r w:rsidR="00DA2335">
        <w:t xml:space="preserve"> </w:t>
      </w:r>
    </w:p>
    <w:p w:rsidR="00B665D3" w:rsidRDefault="00E60C2F" w:rsidP="0042234F">
      <w:pPr>
        <w:pStyle w:val="Text"/>
      </w:pPr>
      <w:r>
        <w:t xml:space="preserve">The framework </w:t>
      </w:r>
      <w:r w:rsidR="00F820DB">
        <w:t xml:space="preserve">consists of six elements: </w:t>
      </w:r>
    </w:p>
    <w:p w:rsidR="00E60C2F" w:rsidRDefault="00E60C2F" w:rsidP="001201FA">
      <w:pPr>
        <w:pStyle w:val="Text"/>
        <w:numPr>
          <w:ilvl w:val="0"/>
          <w:numId w:val="3"/>
        </w:numPr>
      </w:pPr>
      <w:r>
        <w:t xml:space="preserve">Identifying </w:t>
      </w:r>
      <w:r w:rsidR="00A418E8">
        <w:t xml:space="preserve">the </w:t>
      </w:r>
      <w:r w:rsidR="002E45DF">
        <w:t>need</w:t>
      </w:r>
      <w:r>
        <w:t xml:space="preserve"> for distributed custody</w:t>
      </w:r>
      <w:r w:rsidR="0061239E">
        <w:t>;</w:t>
      </w:r>
    </w:p>
    <w:p w:rsidR="00E60C2F" w:rsidRDefault="00E60C2F" w:rsidP="001201FA">
      <w:pPr>
        <w:pStyle w:val="Text"/>
        <w:numPr>
          <w:ilvl w:val="0"/>
          <w:numId w:val="3"/>
        </w:numPr>
      </w:pPr>
      <w:r>
        <w:t xml:space="preserve">Establishing a </w:t>
      </w:r>
      <w:r w:rsidR="002E45DF">
        <w:t>d</w:t>
      </w:r>
      <w:r>
        <w:t>istributed custody agreement under s</w:t>
      </w:r>
      <w:r w:rsidR="00915720">
        <w:t xml:space="preserve">ection </w:t>
      </w:r>
      <w:r>
        <w:t>64</w:t>
      </w:r>
      <w:r w:rsidR="0061239E">
        <w:t>;</w:t>
      </w:r>
    </w:p>
    <w:p w:rsidR="00E60C2F" w:rsidRDefault="00E60C2F" w:rsidP="001201FA">
      <w:pPr>
        <w:pStyle w:val="Text"/>
        <w:numPr>
          <w:ilvl w:val="0"/>
          <w:numId w:val="3"/>
        </w:numPr>
      </w:pPr>
      <w:r>
        <w:t>Providing guidance and support</w:t>
      </w:r>
      <w:r w:rsidR="0061239E">
        <w:t>;</w:t>
      </w:r>
    </w:p>
    <w:p w:rsidR="002E45DF" w:rsidRDefault="002E45DF" w:rsidP="001201FA">
      <w:pPr>
        <w:pStyle w:val="Text"/>
        <w:numPr>
          <w:ilvl w:val="0"/>
          <w:numId w:val="3"/>
        </w:numPr>
      </w:pPr>
      <w:r>
        <w:t>Ensuring care, preservation and access</w:t>
      </w:r>
      <w:r w:rsidR="0061239E">
        <w:t>;</w:t>
      </w:r>
    </w:p>
    <w:p w:rsidR="002E45DF" w:rsidRDefault="002E45DF" w:rsidP="001201FA">
      <w:pPr>
        <w:pStyle w:val="Text"/>
        <w:numPr>
          <w:ilvl w:val="0"/>
          <w:numId w:val="3"/>
        </w:numPr>
      </w:pPr>
      <w:r>
        <w:t>Monitoring and reporting</w:t>
      </w:r>
      <w:r w:rsidR="0061239E">
        <w:t>;</w:t>
      </w:r>
      <w:r w:rsidR="000D63EF">
        <w:t xml:space="preserve"> and</w:t>
      </w:r>
    </w:p>
    <w:p w:rsidR="002E45DF" w:rsidRDefault="002E45DF" w:rsidP="001201FA">
      <w:pPr>
        <w:pStyle w:val="Text"/>
        <w:numPr>
          <w:ilvl w:val="0"/>
          <w:numId w:val="3"/>
        </w:numPr>
      </w:pPr>
      <w:r>
        <w:t>Review</w:t>
      </w:r>
      <w:r w:rsidR="000D63EF">
        <w:t>.</w:t>
      </w:r>
    </w:p>
    <w:p w:rsidR="00B665D3" w:rsidRDefault="00633437" w:rsidP="00B665D3">
      <w:pPr>
        <w:pStyle w:val="Text"/>
      </w:pPr>
      <w:r>
        <w:t>B</w:t>
      </w:r>
      <w:r w:rsidR="00F820DB">
        <w:t>oth</w:t>
      </w:r>
      <w:r w:rsidR="00563006">
        <w:t xml:space="preserve"> the</w:t>
      </w:r>
      <w:r w:rsidR="00F820DB">
        <w:t xml:space="preserve"> </w:t>
      </w:r>
      <w:r>
        <w:t xml:space="preserve">custodial </w:t>
      </w:r>
      <w:r w:rsidR="00661E56">
        <w:t>organisation</w:t>
      </w:r>
      <w:r w:rsidR="002E45DF">
        <w:t xml:space="preserve"> and </w:t>
      </w:r>
      <w:r w:rsidR="00F820DB">
        <w:t xml:space="preserve">the </w:t>
      </w:r>
      <w:r w:rsidR="002E45DF">
        <w:t xml:space="preserve">Archives </w:t>
      </w:r>
      <w:r w:rsidR="00F820DB">
        <w:t xml:space="preserve">have responsibilities </w:t>
      </w:r>
      <w:r>
        <w:t xml:space="preserve">in a distributed custody arrangement </w:t>
      </w:r>
      <w:r w:rsidR="00B665D3">
        <w:t xml:space="preserve">to ensure </w:t>
      </w:r>
      <w:r>
        <w:t xml:space="preserve">that </w:t>
      </w:r>
      <w:r w:rsidR="00B665D3">
        <w:t>obligations under the Act</w:t>
      </w:r>
      <w:r w:rsidR="002E45DF">
        <w:t xml:space="preserve"> </w:t>
      </w:r>
      <w:r w:rsidR="000D63EF">
        <w:t>are</w:t>
      </w:r>
      <w:r w:rsidR="002E45DF">
        <w:t xml:space="preserve"> met</w:t>
      </w:r>
      <w:r w:rsidR="00B665D3">
        <w:t>.</w:t>
      </w:r>
    </w:p>
    <w:p w:rsidR="00B665D3" w:rsidRDefault="00A717A4" w:rsidP="00633437">
      <w:pPr>
        <w:pStyle w:val="Heading3"/>
      </w:pPr>
      <w:bookmarkStart w:id="34" w:name="_Toc435969413"/>
      <w:bookmarkStart w:id="35" w:name="_Toc435969736"/>
      <w:r>
        <w:t xml:space="preserve">5.3.1 </w:t>
      </w:r>
      <w:r w:rsidR="00701CBF">
        <w:t xml:space="preserve">Custodial Organisation </w:t>
      </w:r>
      <w:r w:rsidR="00B665D3">
        <w:t>responsibilities</w:t>
      </w:r>
      <w:bookmarkEnd w:id="34"/>
      <w:bookmarkEnd w:id="35"/>
      <w:r w:rsidR="00B665D3">
        <w:t xml:space="preserve"> </w:t>
      </w:r>
    </w:p>
    <w:p w:rsidR="0061239E" w:rsidRDefault="0061239E" w:rsidP="0061239E">
      <w:pPr>
        <w:pStyle w:val="Text"/>
      </w:pPr>
      <w:r>
        <w:t>The custodial organisation is the organisation which has custody of the records. This may be the creating or controlling agency, or a third party.</w:t>
      </w:r>
    </w:p>
    <w:p w:rsidR="00B665D3" w:rsidRPr="004A0B44" w:rsidRDefault="00193739" w:rsidP="001201FA">
      <w:pPr>
        <w:pStyle w:val="Text"/>
        <w:numPr>
          <w:ilvl w:val="0"/>
          <w:numId w:val="3"/>
        </w:numPr>
      </w:pPr>
      <w:r>
        <w:t>Identify</w:t>
      </w:r>
      <w:r w:rsidR="00B665D3" w:rsidRPr="004A0B44">
        <w:t xml:space="preserve"> </w:t>
      </w:r>
      <w:r w:rsidR="00B665D3">
        <w:t xml:space="preserve">records of continuing value </w:t>
      </w:r>
      <w:r w:rsidR="0061239E">
        <w:t xml:space="preserve">that cannot or </w:t>
      </w:r>
      <w:r w:rsidR="00B665D3" w:rsidRPr="004A0B44">
        <w:t xml:space="preserve">will not be transferred </w:t>
      </w:r>
      <w:r w:rsidR="00A418E8">
        <w:t>to the Archives</w:t>
      </w:r>
      <w:r>
        <w:t>;</w:t>
      </w:r>
    </w:p>
    <w:p w:rsidR="00701CBF" w:rsidRDefault="00193739" w:rsidP="001201FA">
      <w:pPr>
        <w:pStyle w:val="Text"/>
        <w:numPr>
          <w:ilvl w:val="0"/>
          <w:numId w:val="3"/>
        </w:numPr>
      </w:pPr>
      <w:r>
        <w:t>P</w:t>
      </w:r>
      <w:r w:rsidR="00A418E8">
        <w:t>rovide</w:t>
      </w:r>
      <w:r>
        <w:t xml:space="preserve"> </w:t>
      </w:r>
      <w:r w:rsidR="00A418E8">
        <w:t>justific</w:t>
      </w:r>
      <w:r w:rsidR="0061239E">
        <w:t>ation for retaining the records</w:t>
      </w:r>
      <w:r>
        <w:t>;</w:t>
      </w:r>
    </w:p>
    <w:p w:rsidR="00B665D3" w:rsidRPr="004A0B44" w:rsidRDefault="00193739" w:rsidP="001201FA">
      <w:pPr>
        <w:pStyle w:val="Text"/>
        <w:numPr>
          <w:ilvl w:val="0"/>
          <w:numId w:val="3"/>
        </w:numPr>
      </w:pPr>
      <w:r>
        <w:t>Enter into a formal distributed custody agreement with</w:t>
      </w:r>
      <w:r w:rsidR="0061239E">
        <w:t xml:space="preserve"> </w:t>
      </w:r>
      <w:r w:rsidR="00B665D3">
        <w:t xml:space="preserve">the </w:t>
      </w:r>
      <w:r w:rsidR="00633437">
        <w:t>A</w:t>
      </w:r>
      <w:r w:rsidR="00B665D3">
        <w:t>rchives</w:t>
      </w:r>
      <w:r>
        <w:t>;</w:t>
      </w:r>
    </w:p>
    <w:p w:rsidR="00B665D3" w:rsidRPr="004A0B44" w:rsidRDefault="00B665D3" w:rsidP="001201FA">
      <w:pPr>
        <w:pStyle w:val="Text"/>
        <w:numPr>
          <w:ilvl w:val="0"/>
          <w:numId w:val="3"/>
        </w:numPr>
      </w:pPr>
      <w:r w:rsidRPr="004A0B44">
        <w:t xml:space="preserve">Manage and maintain records in accordance with </w:t>
      </w:r>
      <w:r>
        <w:t xml:space="preserve">the </w:t>
      </w:r>
      <w:r w:rsidRPr="004A0B44">
        <w:t>Archives</w:t>
      </w:r>
      <w:r>
        <w:t>’</w:t>
      </w:r>
      <w:r w:rsidRPr="004A0B44">
        <w:t xml:space="preserve"> guidance</w:t>
      </w:r>
      <w:r>
        <w:t xml:space="preserve"> and the </w:t>
      </w:r>
      <w:r w:rsidR="002E45DF">
        <w:t>terms</w:t>
      </w:r>
      <w:r>
        <w:t xml:space="preserve"> </w:t>
      </w:r>
      <w:r w:rsidR="006A3F97">
        <w:t xml:space="preserve">and conditions </w:t>
      </w:r>
      <w:r>
        <w:t>of the agreement</w:t>
      </w:r>
      <w:r w:rsidR="00193739">
        <w:t>; and</w:t>
      </w:r>
    </w:p>
    <w:p w:rsidR="00B665D3" w:rsidRDefault="00633437" w:rsidP="001201FA">
      <w:pPr>
        <w:pStyle w:val="Text"/>
        <w:numPr>
          <w:ilvl w:val="0"/>
          <w:numId w:val="3"/>
        </w:numPr>
      </w:pPr>
      <w:r>
        <w:t>Provide</w:t>
      </w:r>
      <w:r w:rsidRPr="004A0B44">
        <w:t xml:space="preserve"> </w:t>
      </w:r>
      <w:r w:rsidR="00B665D3" w:rsidRPr="004A0B44">
        <w:t xml:space="preserve">access to records in accordance with </w:t>
      </w:r>
      <w:r w:rsidR="00B665D3">
        <w:t xml:space="preserve">the </w:t>
      </w:r>
      <w:r w:rsidR="00B665D3" w:rsidRPr="004A0B44">
        <w:t>Act</w:t>
      </w:r>
      <w:r w:rsidR="00A418E8">
        <w:t>.</w:t>
      </w:r>
    </w:p>
    <w:p w:rsidR="00701CBF" w:rsidRDefault="00701CBF" w:rsidP="00835064">
      <w:r w:rsidRPr="00563006">
        <w:t xml:space="preserve">Custodial organisations which are not the controlling agency </w:t>
      </w:r>
      <w:r>
        <w:t xml:space="preserve">will </w:t>
      </w:r>
      <w:r w:rsidRPr="00563006">
        <w:t>have responsibility from the point of entering into a formal agreement.</w:t>
      </w:r>
    </w:p>
    <w:p w:rsidR="00B665D3" w:rsidRDefault="00A717A4" w:rsidP="00633437">
      <w:pPr>
        <w:pStyle w:val="Heading3"/>
      </w:pPr>
      <w:bookmarkStart w:id="36" w:name="_Toc435969414"/>
      <w:bookmarkStart w:id="37" w:name="_Toc435969737"/>
      <w:r>
        <w:t xml:space="preserve">5.3.2 </w:t>
      </w:r>
      <w:r w:rsidR="00B665D3">
        <w:t xml:space="preserve">Archives </w:t>
      </w:r>
      <w:r w:rsidR="00633437">
        <w:t>responsibilities</w:t>
      </w:r>
      <w:bookmarkEnd w:id="36"/>
      <w:bookmarkEnd w:id="37"/>
      <w:r w:rsidR="00633437">
        <w:t xml:space="preserve"> </w:t>
      </w:r>
    </w:p>
    <w:p w:rsidR="00B665D3" w:rsidRPr="004A0B44" w:rsidRDefault="00B665D3" w:rsidP="001201FA">
      <w:pPr>
        <w:pStyle w:val="Text"/>
        <w:numPr>
          <w:ilvl w:val="0"/>
          <w:numId w:val="3"/>
        </w:numPr>
      </w:pPr>
      <w:r w:rsidRPr="004A0B44">
        <w:t xml:space="preserve">Proactively </w:t>
      </w:r>
      <w:r>
        <w:t xml:space="preserve">engage </w:t>
      </w:r>
      <w:r w:rsidRPr="004A0B44">
        <w:t xml:space="preserve">with </w:t>
      </w:r>
      <w:r w:rsidR="00AB1C98">
        <w:t xml:space="preserve">controlling </w:t>
      </w:r>
      <w:r w:rsidRPr="004A0B44">
        <w:t xml:space="preserve">agencies </w:t>
      </w:r>
      <w:r w:rsidR="00AB1C98">
        <w:t xml:space="preserve">and other custodial organisations </w:t>
      </w:r>
      <w:r w:rsidRPr="004A0B44">
        <w:t xml:space="preserve">to identify </w:t>
      </w:r>
      <w:r>
        <w:t>circumstances which may require a distributed custody arrangement</w:t>
      </w:r>
      <w:r w:rsidR="00835064">
        <w:t>;</w:t>
      </w:r>
    </w:p>
    <w:p w:rsidR="00B665D3" w:rsidRDefault="00B665D3" w:rsidP="001201FA">
      <w:pPr>
        <w:pStyle w:val="Text"/>
        <w:numPr>
          <w:ilvl w:val="0"/>
          <w:numId w:val="3"/>
        </w:numPr>
      </w:pPr>
      <w:r>
        <w:t xml:space="preserve">Provide clear guidance </w:t>
      </w:r>
      <w:r w:rsidR="00A418E8">
        <w:t xml:space="preserve">for </w:t>
      </w:r>
      <w:r>
        <w:t>establish</w:t>
      </w:r>
      <w:r w:rsidR="00A418E8">
        <w:t>ing</w:t>
      </w:r>
      <w:r>
        <w:t xml:space="preserve"> and maintain</w:t>
      </w:r>
      <w:r w:rsidR="00A418E8">
        <w:t>ing</w:t>
      </w:r>
      <w:r>
        <w:t xml:space="preserve"> a distributed custody arrangement</w:t>
      </w:r>
      <w:r w:rsidR="00835064">
        <w:t>;</w:t>
      </w:r>
    </w:p>
    <w:p w:rsidR="00B665D3" w:rsidRPr="004A0B44" w:rsidRDefault="00127420" w:rsidP="001201FA">
      <w:pPr>
        <w:pStyle w:val="Text"/>
        <w:numPr>
          <w:ilvl w:val="0"/>
          <w:numId w:val="3"/>
        </w:numPr>
      </w:pPr>
      <w:r>
        <w:t>Provide</w:t>
      </w:r>
      <w:r w:rsidR="00A418E8">
        <w:t xml:space="preserve"> </w:t>
      </w:r>
      <w:r w:rsidR="00633437">
        <w:t>streamlined processes and templates for the establishment of arrangements</w:t>
      </w:r>
      <w:r w:rsidR="00075515">
        <w:t xml:space="preserve"> under section 64</w:t>
      </w:r>
      <w:r w:rsidR="00835064">
        <w:t>;</w:t>
      </w:r>
    </w:p>
    <w:p w:rsidR="00B665D3" w:rsidRPr="004A0B44" w:rsidRDefault="00B665D3" w:rsidP="001201FA">
      <w:pPr>
        <w:pStyle w:val="Text"/>
        <w:numPr>
          <w:ilvl w:val="0"/>
          <w:numId w:val="3"/>
        </w:numPr>
      </w:pPr>
      <w:r>
        <w:t xml:space="preserve">Provide clear guidance </w:t>
      </w:r>
      <w:r w:rsidRPr="004A0B44">
        <w:t xml:space="preserve">for the storage, access and protection of records in </w:t>
      </w:r>
      <w:r>
        <w:t>distributed</w:t>
      </w:r>
      <w:r w:rsidRPr="004A0B44">
        <w:t xml:space="preserve"> custody</w:t>
      </w:r>
      <w:r w:rsidR="00835064">
        <w:t xml:space="preserve">; </w:t>
      </w:r>
      <w:r w:rsidR="000D63EF">
        <w:t>and</w:t>
      </w:r>
    </w:p>
    <w:p w:rsidR="00B665D3" w:rsidRDefault="00B665D3" w:rsidP="001201FA">
      <w:pPr>
        <w:pStyle w:val="Text"/>
        <w:numPr>
          <w:ilvl w:val="0"/>
          <w:numId w:val="3"/>
        </w:numPr>
      </w:pPr>
      <w:r w:rsidRPr="004A0B44">
        <w:t>Establish and maintain a cycle of review</w:t>
      </w:r>
      <w:r w:rsidR="00A418E8">
        <w:t xml:space="preserve"> and </w:t>
      </w:r>
      <w:r w:rsidRPr="004A0B44">
        <w:t>monitoring</w:t>
      </w:r>
      <w:r w:rsidR="00A418E8">
        <w:t>.</w:t>
      </w:r>
      <w:r w:rsidRPr="004A0B44">
        <w:t xml:space="preserve"> </w:t>
      </w:r>
    </w:p>
    <w:p w:rsidR="00B665D3" w:rsidRDefault="00B665D3" w:rsidP="00B665D3">
      <w:pPr>
        <w:pStyle w:val="Text"/>
      </w:pPr>
      <w:r>
        <w:t>Adopting a distributed custody model does not prevent the Archives from eventually accepting custody of records of continuing value</w:t>
      </w:r>
      <w:r w:rsidR="006A3F97">
        <w:t xml:space="preserve"> (see s</w:t>
      </w:r>
      <w:r w:rsidR="00915720">
        <w:t xml:space="preserve">ection </w:t>
      </w:r>
      <w:r w:rsidR="006A3F97">
        <w:t>64</w:t>
      </w:r>
      <w:r w:rsidR="004209CD">
        <w:t xml:space="preserve"> </w:t>
      </w:r>
      <w:r w:rsidR="006A3F97">
        <w:t>(2</w:t>
      </w:r>
      <w:r w:rsidR="00694DB4">
        <w:t>) (</w:t>
      </w:r>
      <w:r w:rsidR="006A3F97">
        <w:t>d))</w:t>
      </w:r>
      <w:r>
        <w:t xml:space="preserve">. Good </w:t>
      </w:r>
      <w:r>
        <w:lastRenderedPageBreak/>
        <w:t>governance through formal arrangements supports future transfer of records as opportunities arise.</w:t>
      </w:r>
    </w:p>
    <w:p w:rsidR="0042234F" w:rsidRDefault="0042234F" w:rsidP="001201FA">
      <w:pPr>
        <w:pStyle w:val="Heading1"/>
        <w:numPr>
          <w:ilvl w:val="0"/>
          <w:numId w:val="1"/>
        </w:numPr>
        <w:tabs>
          <w:tab w:val="clear" w:pos="360"/>
          <w:tab w:val="num" w:pos="709"/>
        </w:tabs>
      </w:pPr>
      <w:bookmarkStart w:id="38" w:name="_Toc435969415"/>
      <w:bookmarkStart w:id="39" w:name="_Toc435969738"/>
      <w:bookmarkEnd w:id="5"/>
      <w:r>
        <w:t>implementation</w:t>
      </w:r>
      <w:r w:rsidR="00EB5792">
        <w:t xml:space="preserve"> </w:t>
      </w:r>
      <w:r w:rsidR="00E540D1">
        <w:t>guidelines</w:t>
      </w:r>
      <w:bookmarkEnd w:id="38"/>
      <w:bookmarkEnd w:id="39"/>
    </w:p>
    <w:p w:rsidR="00C13FF9" w:rsidRDefault="00C13FF9" w:rsidP="0042234F">
      <w:pPr>
        <w:pStyle w:val="Text"/>
        <w:spacing w:after="120"/>
        <w:ind w:right="845"/>
        <w:rPr>
          <w:rFonts w:cs="Book Antiqua"/>
        </w:rPr>
      </w:pPr>
      <w:r>
        <w:rPr>
          <w:rFonts w:cs="Book Antiqua"/>
        </w:rPr>
        <w:t xml:space="preserve">Implementation </w:t>
      </w:r>
      <w:r w:rsidR="00CE1FB9">
        <w:rPr>
          <w:rFonts w:cs="Book Antiqua"/>
        </w:rPr>
        <w:t xml:space="preserve">guidelines </w:t>
      </w:r>
      <w:r w:rsidR="00835064">
        <w:rPr>
          <w:rFonts w:cs="Book Antiqua"/>
        </w:rPr>
        <w:t xml:space="preserve">(to be developed) </w:t>
      </w:r>
      <w:r>
        <w:rPr>
          <w:rFonts w:cs="Book Antiqua"/>
        </w:rPr>
        <w:t xml:space="preserve">support </w:t>
      </w:r>
      <w:r w:rsidR="00835064">
        <w:rPr>
          <w:rFonts w:cs="Book Antiqua"/>
        </w:rPr>
        <w:t xml:space="preserve">both the Archives and custodial agency </w:t>
      </w:r>
      <w:r w:rsidR="00CE1FB9">
        <w:rPr>
          <w:rFonts w:cs="Book Antiqua"/>
        </w:rPr>
        <w:t xml:space="preserve">procedures </w:t>
      </w:r>
      <w:r w:rsidR="00A418E8">
        <w:rPr>
          <w:rFonts w:cs="Book Antiqua"/>
        </w:rPr>
        <w:t>for</w:t>
      </w:r>
      <w:r>
        <w:rPr>
          <w:rFonts w:cs="Book Antiqua"/>
        </w:rPr>
        <w:t xml:space="preserve"> manag</w:t>
      </w:r>
      <w:r w:rsidR="00A418E8">
        <w:rPr>
          <w:rFonts w:cs="Book Antiqua"/>
        </w:rPr>
        <w:t>ing</w:t>
      </w:r>
      <w:r>
        <w:rPr>
          <w:rFonts w:cs="Book Antiqua"/>
        </w:rPr>
        <w:t xml:space="preserve"> the establishment and ongoing </w:t>
      </w:r>
      <w:r w:rsidR="00A418E8">
        <w:rPr>
          <w:rFonts w:cs="Book Antiqua"/>
        </w:rPr>
        <w:t>maintenance</w:t>
      </w:r>
      <w:r>
        <w:rPr>
          <w:rFonts w:cs="Book Antiqua"/>
        </w:rPr>
        <w:t xml:space="preserve"> of distributed custody arrangements. </w:t>
      </w:r>
      <w:r w:rsidR="00821449">
        <w:rPr>
          <w:rFonts w:cs="Book Antiqua"/>
        </w:rPr>
        <w:t xml:space="preserve">The guidelines </w:t>
      </w:r>
      <w:r w:rsidR="00A418E8">
        <w:rPr>
          <w:rFonts w:cs="Book Antiqua"/>
        </w:rPr>
        <w:t xml:space="preserve">may </w:t>
      </w:r>
      <w:r w:rsidR="00677E7D">
        <w:rPr>
          <w:rFonts w:cs="Book Antiqua"/>
        </w:rPr>
        <w:t xml:space="preserve">also </w:t>
      </w:r>
      <w:r w:rsidR="00A418E8">
        <w:rPr>
          <w:rFonts w:cs="Book Antiqua"/>
        </w:rPr>
        <w:t>be applied to existing distributed custody arrangements</w:t>
      </w:r>
      <w:r w:rsidR="00821449">
        <w:rPr>
          <w:rFonts w:cs="Book Antiqua"/>
        </w:rPr>
        <w:t xml:space="preserve"> </w:t>
      </w:r>
      <w:r w:rsidR="00075515">
        <w:rPr>
          <w:rFonts w:cs="Book Antiqua"/>
        </w:rPr>
        <w:t xml:space="preserve">as </w:t>
      </w:r>
      <w:r w:rsidR="00821449">
        <w:rPr>
          <w:rFonts w:cs="Book Antiqua"/>
        </w:rPr>
        <w:t>they are re</w:t>
      </w:r>
      <w:r w:rsidR="00A418E8">
        <w:rPr>
          <w:rFonts w:cs="Book Antiqua"/>
        </w:rPr>
        <w:t>vi</w:t>
      </w:r>
      <w:r w:rsidR="00821449">
        <w:rPr>
          <w:rFonts w:cs="Book Antiqua"/>
        </w:rPr>
        <w:t xml:space="preserve">ewed. </w:t>
      </w:r>
    </w:p>
    <w:p w:rsidR="00C13FF9" w:rsidRPr="00FD7447" w:rsidRDefault="00FD7447" w:rsidP="0083709F">
      <w:bookmarkStart w:id="40" w:name="_Toc434411758"/>
      <w:bookmarkStart w:id="41" w:name="_Toc435969416"/>
      <w:bookmarkStart w:id="42" w:name="_Toc435969739"/>
      <w:r w:rsidRPr="00FD7447">
        <w:t>The guidelines include:</w:t>
      </w:r>
      <w:bookmarkEnd w:id="40"/>
      <w:bookmarkEnd w:id="41"/>
      <w:bookmarkEnd w:id="42"/>
      <w:r w:rsidRPr="00FD7447">
        <w:t xml:space="preserve"> </w:t>
      </w:r>
    </w:p>
    <w:p w:rsidR="00C8558A" w:rsidRPr="00FD7447" w:rsidRDefault="00075515" w:rsidP="001201FA">
      <w:pPr>
        <w:pStyle w:val="Text"/>
        <w:numPr>
          <w:ilvl w:val="0"/>
          <w:numId w:val="4"/>
        </w:numPr>
        <w:spacing w:after="120"/>
        <w:ind w:right="845"/>
        <w:rPr>
          <w:rFonts w:cs="Book Antiqua"/>
        </w:rPr>
      </w:pPr>
      <w:r>
        <w:rPr>
          <w:rFonts w:cs="Book Antiqua"/>
        </w:rPr>
        <w:t>C</w:t>
      </w:r>
      <w:r w:rsidR="00C8558A" w:rsidRPr="00FD7447">
        <w:rPr>
          <w:rFonts w:cs="Book Antiqua"/>
        </w:rPr>
        <w:t>riteria</w:t>
      </w:r>
      <w:r w:rsidR="00FD7447">
        <w:rPr>
          <w:rFonts w:cs="Book Antiqua"/>
        </w:rPr>
        <w:t xml:space="preserve"> for identifying </w:t>
      </w:r>
      <w:r w:rsidR="0087421E">
        <w:rPr>
          <w:rFonts w:cs="Book Antiqua"/>
        </w:rPr>
        <w:t>situations where</w:t>
      </w:r>
      <w:r w:rsidR="00CE1FB9">
        <w:rPr>
          <w:rFonts w:cs="Book Antiqua"/>
        </w:rPr>
        <w:t xml:space="preserve"> </w:t>
      </w:r>
      <w:r w:rsidR="00FD7447">
        <w:rPr>
          <w:rFonts w:cs="Book Antiqua"/>
        </w:rPr>
        <w:t>distributed custody arrangements</w:t>
      </w:r>
      <w:r w:rsidR="0087421E">
        <w:rPr>
          <w:rFonts w:cs="Book Antiqua"/>
        </w:rPr>
        <w:t xml:space="preserve"> may be </w:t>
      </w:r>
      <w:r w:rsidR="007977E0">
        <w:rPr>
          <w:rFonts w:cs="Book Antiqua"/>
        </w:rPr>
        <w:t>required</w:t>
      </w:r>
      <w:r w:rsidR="00835064">
        <w:rPr>
          <w:rFonts w:cs="Book Antiqua"/>
        </w:rPr>
        <w:t>;</w:t>
      </w:r>
    </w:p>
    <w:p w:rsidR="00CE1FB9" w:rsidRDefault="00B3046B" w:rsidP="001201FA">
      <w:pPr>
        <w:pStyle w:val="Text"/>
        <w:numPr>
          <w:ilvl w:val="0"/>
          <w:numId w:val="4"/>
        </w:numPr>
        <w:spacing w:after="120"/>
        <w:ind w:right="845"/>
        <w:rPr>
          <w:rFonts w:cs="Book Antiqua"/>
        </w:rPr>
      </w:pPr>
      <w:r>
        <w:rPr>
          <w:rFonts w:cs="Book Antiqua"/>
        </w:rPr>
        <w:t>Workflow</w:t>
      </w:r>
      <w:r w:rsidR="00FD7447">
        <w:rPr>
          <w:rFonts w:cs="Book Antiqua"/>
        </w:rPr>
        <w:t>s</w:t>
      </w:r>
      <w:r>
        <w:rPr>
          <w:rFonts w:cs="Book Antiqua"/>
        </w:rPr>
        <w:t xml:space="preserve"> </w:t>
      </w:r>
      <w:r w:rsidR="001C0807">
        <w:rPr>
          <w:rFonts w:cs="Book Antiqua"/>
        </w:rPr>
        <w:t xml:space="preserve">and procedures </w:t>
      </w:r>
      <w:r>
        <w:rPr>
          <w:rFonts w:cs="Book Antiqua"/>
        </w:rPr>
        <w:t>for e</w:t>
      </w:r>
      <w:r w:rsidR="001E3F92">
        <w:rPr>
          <w:rFonts w:cs="Book Antiqua"/>
        </w:rPr>
        <w:t xml:space="preserve">stablishing </w:t>
      </w:r>
      <w:r w:rsidR="00FD7447">
        <w:rPr>
          <w:rFonts w:cs="Book Antiqua"/>
        </w:rPr>
        <w:t>distributed custody</w:t>
      </w:r>
      <w:r w:rsidR="001E3F92">
        <w:rPr>
          <w:rFonts w:cs="Book Antiqua"/>
        </w:rPr>
        <w:t xml:space="preserve"> arrangement</w:t>
      </w:r>
      <w:r w:rsidR="00FD7447">
        <w:rPr>
          <w:rFonts w:cs="Book Antiqua"/>
        </w:rPr>
        <w:t>s</w:t>
      </w:r>
      <w:r w:rsidR="00835064">
        <w:rPr>
          <w:rFonts w:cs="Book Antiqua"/>
        </w:rPr>
        <w:t>;</w:t>
      </w:r>
    </w:p>
    <w:p w:rsidR="001E3F92" w:rsidRDefault="0087421E" w:rsidP="001201FA">
      <w:pPr>
        <w:pStyle w:val="Text"/>
        <w:numPr>
          <w:ilvl w:val="0"/>
          <w:numId w:val="4"/>
        </w:numPr>
        <w:spacing w:after="120"/>
        <w:ind w:right="845"/>
        <w:rPr>
          <w:rFonts w:cs="Book Antiqua"/>
        </w:rPr>
      </w:pPr>
      <w:r>
        <w:rPr>
          <w:rFonts w:cs="Book Antiqua"/>
        </w:rPr>
        <w:t>Development</w:t>
      </w:r>
      <w:r w:rsidR="00CE1FB9">
        <w:rPr>
          <w:rFonts w:cs="Book Antiqua"/>
        </w:rPr>
        <w:t xml:space="preserve"> </w:t>
      </w:r>
      <w:r w:rsidR="00127420">
        <w:rPr>
          <w:rFonts w:cs="Book Antiqua"/>
        </w:rPr>
        <w:t xml:space="preserve">(and maintenance) </w:t>
      </w:r>
      <w:r w:rsidR="00CE1FB9">
        <w:rPr>
          <w:rFonts w:cs="Book Antiqua"/>
        </w:rPr>
        <w:t xml:space="preserve">of advice and assistance </w:t>
      </w:r>
      <w:r w:rsidR="001C0807">
        <w:rPr>
          <w:rFonts w:cs="Book Antiqua"/>
        </w:rPr>
        <w:t>to</w:t>
      </w:r>
      <w:r w:rsidR="00CE1FB9">
        <w:rPr>
          <w:rFonts w:cs="Book Antiqua"/>
        </w:rPr>
        <w:t xml:space="preserve"> support </w:t>
      </w:r>
      <w:r w:rsidR="00AB1C98">
        <w:rPr>
          <w:rFonts w:cs="Book Antiqua"/>
        </w:rPr>
        <w:t xml:space="preserve">custodial organisations </w:t>
      </w:r>
      <w:r>
        <w:rPr>
          <w:rFonts w:cs="Book Antiqua"/>
        </w:rPr>
        <w:t>in</w:t>
      </w:r>
      <w:r w:rsidR="00075515">
        <w:rPr>
          <w:rFonts w:cs="Book Antiqua"/>
        </w:rPr>
        <w:t xml:space="preserve"> </w:t>
      </w:r>
      <w:r w:rsidR="00CE1FB9">
        <w:rPr>
          <w:rFonts w:cs="Book Antiqua"/>
        </w:rPr>
        <w:t>establishing and maintaining a distributed custody arrangement</w:t>
      </w:r>
      <w:r w:rsidR="00835064">
        <w:rPr>
          <w:rFonts w:cs="Book Antiqua"/>
        </w:rPr>
        <w:t>;</w:t>
      </w:r>
    </w:p>
    <w:p w:rsidR="001F7979" w:rsidRDefault="0087421E" w:rsidP="001201FA">
      <w:pPr>
        <w:pStyle w:val="Text"/>
        <w:numPr>
          <w:ilvl w:val="0"/>
          <w:numId w:val="4"/>
        </w:numPr>
        <w:spacing w:after="120"/>
        <w:ind w:right="845"/>
        <w:rPr>
          <w:rFonts w:cs="Book Antiqua"/>
        </w:rPr>
      </w:pPr>
      <w:r>
        <w:rPr>
          <w:rFonts w:cs="Book Antiqua"/>
        </w:rPr>
        <w:t>Section 64</w:t>
      </w:r>
      <w:r w:rsidR="00FD7447">
        <w:rPr>
          <w:rFonts w:cs="Book Antiqua"/>
        </w:rPr>
        <w:t xml:space="preserve"> </w:t>
      </w:r>
      <w:r w:rsidR="001C0807">
        <w:rPr>
          <w:rFonts w:cs="Book Antiqua"/>
        </w:rPr>
        <w:t>agreement and other</w:t>
      </w:r>
      <w:r w:rsidR="00677E7D">
        <w:rPr>
          <w:rFonts w:cs="Book Antiqua"/>
        </w:rPr>
        <w:t xml:space="preserve"> </w:t>
      </w:r>
      <w:r w:rsidR="00FD7447">
        <w:rPr>
          <w:rFonts w:cs="Book Antiqua"/>
        </w:rPr>
        <w:t>t</w:t>
      </w:r>
      <w:r w:rsidR="001F7979">
        <w:rPr>
          <w:rFonts w:cs="Book Antiqua"/>
        </w:rPr>
        <w:t xml:space="preserve">emplates </w:t>
      </w:r>
      <w:r w:rsidR="00FD7447">
        <w:rPr>
          <w:rFonts w:cs="Book Antiqua"/>
        </w:rPr>
        <w:t xml:space="preserve">to reflect </w:t>
      </w:r>
      <w:r>
        <w:rPr>
          <w:rFonts w:cs="Book Antiqua"/>
        </w:rPr>
        <w:t>p</w:t>
      </w:r>
      <w:r w:rsidR="00FD7447">
        <w:rPr>
          <w:rFonts w:cs="Book Antiqua"/>
        </w:rPr>
        <w:t>olicy requirements</w:t>
      </w:r>
      <w:r w:rsidR="00884B33">
        <w:rPr>
          <w:rFonts w:cs="Book Antiqua"/>
        </w:rPr>
        <w:t xml:space="preserve"> a</w:t>
      </w:r>
      <w:r w:rsidR="000D63EF">
        <w:rPr>
          <w:rFonts w:cs="Book Antiqua"/>
        </w:rPr>
        <w:t>nd provisions of the Act</w:t>
      </w:r>
      <w:r w:rsidR="00835064">
        <w:rPr>
          <w:rFonts w:cs="Book Antiqua"/>
        </w:rPr>
        <w:t>;</w:t>
      </w:r>
    </w:p>
    <w:p w:rsidR="001F7979" w:rsidRDefault="0087421E" w:rsidP="001201FA">
      <w:pPr>
        <w:pStyle w:val="Text"/>
        <w:numPr>
          <w:ilvl w:val="0"/>
          <w:numId w:val="4"/>
        </w:numPr>
        <w:spacing w:after="120"/>
        <w:ind w:right="845"/>
        <w:rPr>
          <w:rFonts w:cs="Book Antiqua"/>
        </w:rPr>
      </w:pPr>
      <w:r>
        <w:rPr>
          <w:rFonts w:cs="Book Antiqua"/>
        </w:rPr>
        <w:t>Framework for</w:t>
      </w:r>
      <w:r w:rsidR="001C0807">
        <w:rPr>
          <w:rFonts w:cs="Book Antiqua"/>
        </w:rPr>
        <w:t xml:space="preserve"> </w:t>
      </w:r>
      <w:r w:rsidR="00CE1FB9">
        <w:rPr>
          <w:rFonts w:cs="Book Antiqua"/>
        </w:rPr>
        <w:t>m</w:t>
      </w:r>
      <w:r w:rsidR="001F7979">
        <w:rPr>
          <w:rFonts w:cs="Book Antiqua"/>
        </w:rPr>
        <w:t xml:space="preserve">onitoring </w:t>
      </w:r>
      <w:r>
        <w:rPr>
          <w:rFonts w:cs="Book Antiqua"/>
        </w:rPr>
        <w:t>(inspection)</w:t>
      </w:r>
      <w:r w:rsidR="00CE1FB9">
        <w:rPr>
          <w:rFonts w:cs="Book Antiqua"/>
        </w:rPr>
        <w:t xml:space="preserve">, </w:t>
      </w:r>
      <w:r w:rsidR="00B3046B">
        <w:rPr>
          <w:rFonts w:cs="Book Antiqua"/>
        </w:rPr>
        <w:t>includ</w:t>
      </w:r>
      <w:r w:rsidR="00CE1FB9">
        <w:rPr>
          <w:rFonts w:cs="Book Antiqua"/>
        </w:rPr>
        <w:t>ing</w:t>
      </w:r>
      <w:r w:rsidR="00B3046B">
        <w:rPr>
          <w:rFonts w:cs="Book Antiqua"/>
        </w:rPr>
        <w:t xml:space="preserve"> timelines, frequency of visits</w:t>
      </w:r>
      <w:r w:rsidR="00CE1FB9">
        <w:rPr>
          <w:rFonts w:cs="Book Antiqua"/>
        </w:rPr>
        <w:t>,</w:t>
      </w:r>
      <w:r w:rsidR="00B3046B">
        <w:rPr>
          <w:rFonts w:cs="Book Antiqua"/>
        </w:rPr>
        <w:t xml:space="preserve"> key reporting aspects</w:t>
      </w:r>
      <w:r w:rsidR="00CE1FB9">
        <w:rPr>
          <w:rFonts w:cs="Book Antiqua"/>
        </w:rPr>
        <w:t xml:space="preserve"> and </w:t>
      </w:r>
      <w:r w:rsidR="007977E0">
        <w:rPr>
          <w:rFonts w:cs="Book Antiqua"/>
        </w:rPr>
        <w:t>identification of</w:t>
      </w:r>
      <w:r w:rsidR="00CE1FB9">
        <w:rPr>
          <w:rFonts w:cs="Book Antiqua"/>
        </w:rPr>
        <w:t xml:space="preserve"> </w:t>
      </w:r>
      <w:r w:rsidR="00B3046B">
        <w:rPr>
          <w:rFonts w:cs="Book Antiqua"/>
        </w:rPr>
        <w:t xml:space="preserve">‘critical’ </w:t>
      </w:r>
      <w:r w:rsidR="007977E0">
        <w:rPr>
          <w:rFonts w:cs="Book Antiqua"/>
        </w:rPr>
        <w:t>indicators</w:t>
      </w:r>
      <w:r w:rsidR="00CE1FB9">
        <w:rPr>
          <w:rFonts w:cs="Book Antiqua"/>
        </w:rPr>
        <w:t xml:space="preserve"> </w:t>
      </w:r>
      <w:r w:rsidR="007977E0">
        <w:rPr>
          <w:rFonts w:cs="Book Antiqua"/>
        </w:rPr>
        <w:t>that arrangements</w:t>
      </w:r>
      <w:r w:rsidR="000D63EF">
        <w:rPr>
          <w:rFonts w:cs="Book Antiqua"/>
        </w:rPr>
        <w:t xml:space="preserve"> need to be revised</w:t>
      </w:r>
      <w:r w:rsidR="00835064">
        <w:rPr>
          <w:rFonts w:cs="Book Antiqua"/>
        </w:rPr>
        <w:t>;</w:t>
      </w:r>
    </w:p>
    <w:p w:rsidR="0087421E" w:rsidRDefault="0087421E" w:rsidP="001201FA">
      <w:pPr>
        <w:pStyle w:val="Text"/>
        <w:numPr>
          <w:ilvl w:val="0"/>
          <w:numId w:val="4"/>
        </w:numPr>
        <w:spacing w:after="120"/>
        <w:ind w:right="845"/>
        <w:rPr>
          <w:rFonts w:cs="Book Antiqua"/>
        </w:rPr>
      </w:pPr>
      <w:r>
        <w:rPr>
          <w:rFonts w:cs="Book Antiqua"/>
        </w:rPr>
        <w:t xml:space="preserve">Review of </w:t>
      </w:r>
      <w:r w:rsidR="00127420">
        <w:rPr>
          <w:rFonts w:cs="Book Antiqua"/>
        </w:rPr>
        <w:t>existing</w:t>
      </w:r>
      <w:r>
        <w:rPr>
          <w:rFonts w:cs="Book Antiqua"/>
        </w:rPr>
        <w:t xml:space="preserve"> arrangements to bring them in line with the policy framework</w:t>
      </w:r>
      <w:r w:rsidR="00835064">
        <w:rPr>
          <w:rFonts w:cs="Book Antiqua"/>
        </w:rPr>
        <w:t>;</w:t>
      </w:r>
      <w:r w:rsidR="000D63EF">
        <w:rPr>
          <w:rFonts w:cs="Book Antiqua"/>
        </w:rPr>
        <w:t xml:space="preserve"> and</w:t>
      </w:r>
    </w:p>
    <w:p w:rsidR="00CE1FB9" w:rsidRPr="00493EAA" w:rsidRDefault="0087421E" w:rsidP="001201FA">
      <w:pPr>
        <w:pStyle w:val="Text"/>
        <w:numPr>
          <w:ilvl w:val="0"/>
          <w:numId w:val="4"/>
        </w:numPr>
        <w:spacing w:after="120"/>
        <w:ind w:right="845"/>
        <w:rPr>
          <w:rFonts w:cs="Book Antiqua"/>
        </w:rPr>
      </w:pPr>
      <w:r>
        <w:rPr>
          <w:rFonts w:cs="Book Antiqua"/>
        </w:rPr>
        <w:t>Communication strategy to ensure key messages are clearly understood</w:t>
      </w:r>
      <w:r w:rsidR="00075515">
        <w:rPr>
          <w:rFonts w:cs="Book Antiqua"/>
        </w:rPr>
        <w:t>.</w:t>
      </w:r>
    </w:p>
    <w:p w:rsidR="0042234F" w:rsidRDefault="00EB5792" w:rsidP="001201FA">
      <w:pPr>
        <w:pStyle w:val="Heading1"/>
        <w:numPr>
          <w:ilvl w:val="0"/>
          <w:numId w:val="1"/>
        </w:numPr>
        <w:tabs>
          <w:tab w:val="clear" w:pos="360"/>
          <w:tab w:val="num" w:pos="709"/>
        </w:tabs>
      </w:pPr>
      <w:bookmarkStart w:id="43" w:name="_Toc435969417"/>
      <w:bookmarkStart w:id="44" w:name="_Toc435969740"/>
      <w:r>
        <w:t>ROLES AND RESPONSIBILITIES</w:t>
      </w:r>
      <w:r w:rsidR="00C8761F">
        <w:t xml:space="preserve"> WITHIN THE ARCHIVES</w:t>
      </w:r>
      <w:bookmarkEnd w:id="43"/>
      <w:bookmarkEnd w:id="44"/>
    </w:p>
    <w:p w:rsidR="002F44A9" w:rsidRDefault="002F44A9" w:rsidP="0042234F">
      <w:pPr>
        <w:pStyle w:val="Text"/>
      </w:pPr>
      <w:r w:rsidRPr="002F44A9">
        <w:t xml:space="preserve">The following </w:t>
      </w:r>
      <w:r w:rsidR="002C13A4">
        <w:t xml:space="preserve">table </w:t>
      </w:r>
      <w:r w:rsidR="008412F7">
        <w:t xml:space="preserve">outlines </w:t>
      </w:r>
      <w:r w:rsidRPr="002F44A9">
        <w:t xml:space="preserve">roles and responsibilities </w:t>
      </w:r>
      <w:r w:rsidR="00835064">
        <w:t>for implementation of the distributed custody policy.</w:t>
      </w:r>
      <w:r w:rsidRPr="002F44A9">
        <w:t xml:space="preserve"> The </w:t>
      </w:r>
      <w:r w:rsidR="007977E0">
        <w:t>B</w:t>
      </w:r>
      <w:r w:rsidRPr="002F44A9">
        <w:t>ranches listed have primary responsibility for the roles indicated, but action should be undertaken in consultation with relevant stakeholders, both inte</w:t>
      </w:r>
      <w:r w:rsidR="00F42638">
        <w:t>rna</w:t>
      </w:r>
      <w:r w:rsidRPr="002F44A9">
        <w:t>l and exte</w:t>
      </w:r>
      <w:r w:rsidR="00F42638">
        <w:t>rna</w:t>
      </w:r>
      <w:r w:rsidRPr="002F44A9">
        <w:t>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357"/>
      </w:tblGrid>
      <w:tr w:rsidR="002F44A9" w:rsidRPr="00127420" w:rsidTr="00E73F9E">
        <w:tc>
          <w:tcPr>
            <w:tcW w:w="4357" w:type="dxa"/>
            <w:shd w:val="clear" w:color="auto" w:fill="auto"/>
          </w:tcPr>
          <w:p w:rsidR="002F44A9" w:rsidRPr="004D747B" w:rsidRDefault="002F44A9" w:rsidP="0042234F">
            <w:pPr>
              <w:pStyle w:val="Text"/>
              <w:rPr>
                <w:b/>
              </w:rPr>
            </w:pPr>
            <w:r w:rsidRPr="004D747B">
              <w:rPr>
                <w:b/>
              </w:rPr>
              <w:t>Roles</w:t>
            </w:r>
            <w:r w:rsidR="00D377AE" w:rsidRPr="004D747B">
              <w:rPr>
                <w:b/>
              </w:rPr>
              <w:t xml:space="preserve"> within Archives</w:t>
            </w:r>
          </w:p>
        </w:tc>
        <w:tc>
          <w:tcPr>
            <w:tcW w:w="4357" w:type="dxa"/>
            <w:shd w:val="clear" w:color="auto" w:fill="auto"/>
          </w:tcPr>
          <w:p w:rsidR="002F44A9" w:rsidRPr="004D747B" w:rsidRDefault="002F44A9" w:rsidP="0042234F">
            <w:pPr>
              <w:pStyle w:val="Text"/>
              <w:rPr>
                <w:b/>
              </w:rPr>
            </w:pPr>
            <w:r w:rsidRPr="004D747B">
              <w:rPr>
                <w:b/>
              </w:rPr>
              <w:t>Responsibilities</w:t>
            </w:r>
          </w:p>
        </w:tc>
      </w:tr>
      <w:tr w:rsidR="002F44A9" w:rsidRPr="00127420" w:rsidTr="00E73F9E">
        <w:tc>
          <w:tcPr>
            <w:tcW w:w="4357" w:type="dxa"/>
            <w:shd w:val="clear" w:color="auto" w:fill="auto"/>
          </w:tcPr>
          <w:p w:rsidR="002F44A9" w:rsidRPr="004D747B" w:rsidRDefault="00C5023B" w:rsidP="00A51A08">
            <w:pPr>
              <w:pStyle w:val="Text"/>
            </w:pPr>
            <w:r w:rsidRPr="004D747B">
              <w:t xml:space="preserve">Approval of </w:t>
            </w:r>
            <w:r w:rsidR="001C0807" w:rsidRPr="004D747B">
              <w:t>p</w:t>
            </w:r>
            <w:r w:rsidRPr="004D747B">
              <w:t>olicy</w:t>
            </w:r>
          </w:p>
        </w:tc>
        <w:tc>
          <w:tcPr>
            <w:tcW w:w="4357" w:type="dxa"/>
            <w:shd w:val="clear" w:color="auto" w:fill="auto"/>
          </w:tcPr>
          <w:p w:rsidR="002F44A9" w:rsidRPr="004D747B" w:rsidRDefault="00C5023B" w:rsidP="0042234F">
            <w:pPr>
              <w:pStyle w:val="Text"/>
            </w:pPr>
            <w:r w:rsidRPr="004D747B">
              <w:t>Executive Board</w:t>
            </w:r>
          </w:p>
        </w:tc>
      </w:tr>
      <w:tr w:rsidR="008412F7" w:rsidRPr="00127420" w:rsidTr="00E73F9E">
        <w:tc>
          <w:tcPr>
            <w:tcW w:w="4357" w:type="dxa"/>
            <w:shd w:val="clear" w:color="auto" w:fill="auto"/>
          </w:tcPr>
          <w:p w:rsidR="008412F7" w:rsidRPr="004D747B" w:rsidRDefault="008412F7" w:rsidP="008412F7">
            <w:pPr>
              <w:pStyle w:val="Text"/>
            </w:pPr>
            <w:r w:rsidRPr="004D747B">
              <w:t xml:space="preserve">Identification of potential custodial organisations for distributed custody arrangements  </w:t>
            </w:r>
          </w:p>
        </w:tc>
        <w:tc>
          <w:tcPr>
            <w:tcW w:w="4357" w:type="dxa"/>
            <w:shd w:val="clear" w:color="auto" w:fill="auto"/>
          </w:tcPr>
          <w:p w:rsidR="008412F7" w:rsidRPr="004D747B" w:rsidRDefault="008412F7" w:rsidP="0042234F">
            <w:pPr>
              <w:pStyle w:val="Text"/>
            </w:pPr>
            <w:r w:rsidRPr="004D747B">
              <w:t xml:space="preserve">Government Information Assurance and Policy </w:t>
            </w:r>
            <w:r w:rsidR="004D747B">
              <w:t xml:space="preserve">(records not in Archives’ </w:t>
            </w:r>
            <w:r w:rsidR="00EB0F53" w:rsidRPr="004D747B">
              <w:t>custody)</w:t>
            </w:r>
          </w:p>
          <w:p w:rsidR="00EB0F53" w:rsidRPr="004D747B" w:rsidRDefault="00EB0F53" w:rsidP="0042234F">
            <w:pPr>
              <w:pStyle w:val="Text"/>
            </w:pPr>
            <w:r w:rsidRPr="004D747B">
              <w:t>Collection Management</w:t>
            </w:r>
          </w:p>
        </w:tc>
      </w:tr>
      <w:tr w:rsidR="00AB1C98" w:rsidRPr="00127420" w:rsidTr="00E73F9E">
        <w:tc>
          <w:tcPr>
            <w:tcW w:w="4357" w:type="dxa"/>
            <w:shd w:val="clear" w:color="auto" w:fill="auto"/>
          </w:tcPr>
          <w:p w:rsidR="00AB1C98" w:rsidRPr="004D747B" w:rsidRDefault="00EB0F53" w:rsidP="00EB0F53">
            <w:pPr>
              <w:pStyle w:val="Text"/>
            </w:pPr>
            <w:r w:rsidRPr="004D747B">
              <w:t>E</w:t>
            </w:r>
            <w:r w:rsidR="00AB1C98" w:rsidRPr="004D747B">
              <w:t>stablishment and monitoring of distributed custody arrangements</w:t>
            </w:r>
          </w:p>
        </w:tc>
        <w:tc>
          <w:tcPr>
            <w:tcW w:w="4357" w:type="dxa"/>
            <w:shd w:val="clear" w:color="auto" w:fill="auto"/>
          </w:tcPr>
          <w:p w:rsidR="00AB1C98" w:rsidRPr="004D747B" w:rsidRDefault="00AB1C98" w:rsidP="00B94E1A">
            <w:pPr>
              <w:pStyle w:val="Text"/>
            </w:pPr>
            <w:r w:rsidRPr="004D747B">
              <w:t>Collection Managemen</w:t>
            </w:r>
            <w:r w:rsidR="00B94E1A" w:rsidRPr="004D747B">
              <w:t>t</w:t>
            </w:r>
          </w:p>
        </w:tc>
      </w:tr>
      <w:tr w:rsidR="00B94E1A" w:rsidRPr="00127420" w:rsidDel="00AB1C98" w:rsidTr="00AD6402">
        <w:trPr>
          <w:cantSplit/>
        </w:trPr>
        <w:tc>
          <w:tcPr>
            <w:tcW w:w="4357" w:type="dxa"/>
            <w:shd w:val="clear" w:color="auto" w:fill="auto"/>
          </w:tcPr>
          <w:p w:rsidR="00B94E1A" w:rsidRPr="004D747B" w:rsidRDefault="00EB0F53" w:rsidP="007447FC">
            <w:pPr>
              <w:pStyle w:val="Text"/>
            </w:pPr>
            <w:r w:rsidRPr="004D747B">
              <w:t>D</w:t>
            </w:r>
            <w:r w:rsidR="00B94E1A" w:rsidRPr="004D747B">
              <w:t xml:space="preserve">evelopment and maintenance of implementation guidelines and advice for custodial organisations </w:t>
            </w:r>
          </w:p>
        </w:tc>
        <w:tc>
          <w:tcPr>
            <w:tcW w:w="4357" w:type="dxa"/>
            <w:shd w:val="clear" w:color="auto" w:fill="auto"/>
          </w:tcPr>
          <w:p w:rsidR="00B94E1A" w:rsidRPr="004D747B" w:rsidDel="00AB1C98" w:rsidRDefault="00B94E1A" w:rsidP="00B94E1A">
            <w:pPr>
              <w:pStyle w:val="Text"/>
            </w:pPr>
            <w:r w:rsidRPr="004D747B">
              <w:t xml:space="preserve">Collection Management </w:t>
            </w:r>
          </w:p>
        </w:tc>
      </w:tr>
      <w:tr w:rsidR="00AB1C98" w:rsidRPr="00127420" w:rsidTr="00E73F9E">
        <w:tc>
          <w:tcPr>
            <w:tcW w:w="4357" w:type="dxa"/>
            <w:shd w:val="clear" w:color="auto" w:fill="auto"/>
          </w:tcPr>
          <w:p w:rsidR="00AB1C98" w:rsidRPr="004D747B" w:rsidRDefault="00AB1C98" w:rsidP="00C5023B">
            <w:pPr>
              <w:pStyle w:val="Text"/>
            </w:pPr>
            <w:r w:rsidRPr="004D747B">
              <w:lastRenderedPageBreak/>
              <w:t xml:space="preserve">Ensure terms and conditions of section 64 agreement are met </w:t>
            </w:r>
          </w:p>
        </w:tc>
        <w:tc>
          <w:tcPr>
            <w:tcW w:w="4357" w:type="dxa"/>
            <w:shd w:val="clear" w:color="auto" w:fill="auto"/>
          </w:tcPr>
          <w:p w:rsidR="00AB1C98" w:rsidRPr="004D747B" w:rsidRDefault="00AB1C98" w:rsidP="002C13A4">
            <w:pPr>
              <w:pStyle w:val="Text"/>
            </w:pPr>
            <w:r w:rsidRPr="004D747B">
              <w:t xml:space="preserve">Custodial </w:t>
            </w:r>
            <w:r w:rsidR="00701CBF" w:rsidRPr="004D747B">
              <w:t>organisation</w:t>
            </w:r>
            <w:r w:rsidRPr="004D747B">
              <w:t xml:space="preserve"> and the Archives (through Collection Management, and Government Information Assurance </w:t>
            </w:r>
            <w:r w:rsidR="002C13A4" w:rsidRPr="004D747B">
              <w:t xml:space="preserve">and </w:t>
            </w:r>
            <w:r w:rsidRPr="004D747B">
              <w:t>Policy)</w:t>
            </w:r>
          </w:p>
        </w:tc>
      </w:tr>
      <w:tr w:rsidR="00AB1C98" w:rsidTr="00E73F9E">
        <w:tc>
          <w:tcPr>
            <w:tcW w:w="4357" w:type="dxa"/>
            <w:shd w:val="clear" w:color="auto" w:fill="auto"/>
          </w:tcPr>
          <w:p w:rsidR="00AB1C98" w:rsidRPr="004D747B" w:rsidRDefault="00AB1C98" w:rsidP="0042234F">
            <w:pPr>
              <w:pStyle w:val="Text"/>
            </w:pPr>
            <w:r w:rsidRPr="004D747B">
              <w:t>Policy review</w:t>
            </w:r>
          </w:p>
        </w:tc>
        <w:tc>
          <w:tcPr>
            <w:tcW w:w="4357" w:type="dxa"/>
            <w:shd w:val="clear" w:color="auto" w:fill="auto"/>
          </w:tcPr>
          <w:p w:rsidR="000B4E93" w:rsidRPr="004D747B" w:rsidRDefault="000B4E93" w:rsidP="000B4E93">
            <w:pPr>
              <w:pStyle w:val="Text"/>
            </w:pPr>
            <w:r w:rsidRPr="004D747B">
              <w:t>Collection Management</w:t>
            </w:r>
          </w:p>
          <w:p w:rsidR="00AB1C98" w:rsidRPr="004D747B" w:rsidRDefault="00AB1C98" w:rsidP="000B4E93">
            <w:pPr>
              <w:pStyle w:val="Text"/>
            </w:pPr>
            <w:r w:rsidRPr="004D747B">
              <w:t xml:space="preserve">Government Information Assurance </w:t>
            </w:r>
            <w:r w:rsidR="002C13A4" w:rsidRPr="004D747B">
              <w:t>and</w:t>
            </w:r>
            <w:r w:rsidR="00605DC8" w:rsidRPr="004D747B">
              <w:t xml:space="preserve"> </w:t>
            </w:r>
            <w:r w:rsidRPr="004D747B">
              <w:t xml:space="preserve">Policy </w:t>
            </w:r>
          </w:p>
        </w:tc>
      </w:tr>
    </w:tbl>
    <w:p w:rsidR="00D377AE" w:rsidRPr="00D377AE" w:rsidRDefault="00D377AE" w:rsidP="004A0B44">
      <w:pPr>
        <w:pStyle w:val="Text"/>
      </w:pPr>
    </w:p>
    <w:p w:rsidR="00CE4709" w:rsidRDefault="00CE4709" w:rsidP="001201FA">
      <w:pPr>
        <w:pStyle w:val="Heading1"/>
        <w:numPr>
          <w:ilvl w:val="0"/>
          <w:numId w:val="1"/>
        </w:numPr>
      </w:pPr>
      <w:bookmarkStart w:id="45" w:name="_Toc435969418"/>
      <w:bookmarkStart w:id="46" w:name="_Toc435969741"/>
      <w:r>
        <w:t>benefits and risks</w:t>
      </w:r>
      <w:bookmarkEnd w:id="45"/>
      <w:bookmarkEnd w:id="46"/>
    </w:p>
    <w:p w:rsidR="00D34F8A" w:rsidRDefault="000B4E93" w:rsidP="00D34F8A">
      <w:pPr>
        <w:pStyle w:val="Heading2"/>
      </w:pPr>
      <w:bookmarkStart w:id="47" w:name="_Toc435969419"/>
      <w:bookmarkStart w:id="48" w:name="_Toc435969742"/>
      <w:r>
        <w:t xml:space="preserve">8.1 </w:t>
      </w:r>
      <w:r w:rsidR="00D34F8A">
        <w:t>Benefits</w:t>
      </w:r>
      <w:bookmarkEnd w:id="47"/>
      <w:bookmarkEnd w:id="48"/>
    </w:p>
    <w:p w:rsidR="00677E7D" w:rsidRDefault="00677E7D" w:rsidP="00D34F8A">
      <w:pPr>
        <w:spacing w:after="140" w:line="240" w:lineRule="atLeast"/>
        <w:ind w:right="-574"/>
        <w:rPr>
          <w:szCs w:val="22"/>
        </w:rPr>
      </w:pPr>
      <w:r>
        <w:rPr>
          <w:szCs w:val="22"/>
        </w:rPr>
        <w:t>There are a number of benefits for the Archives</w:t>
      </w:r>
      <w:r w:rsidR="007977E0">
        <w:rPr>
          <w:szCs w:val="22"/>
        </w:rPr>
        <w:t>,</w:t>
      </w:r>
      <w:r>
        <w:rPr>
          <w:szCs w:val="22"/>
        </w:rPr>
        <w:t xml:space="preserve"> </w:t>
      </w:r>
      <w:r w:rsidR="00B94E1A">
        <w:rPr>
          <w:szCs w:val="22"/>
        </w:rPr>
        <w:t xml:space="preserve">controlling </w:t>
      </w:r>
      <w:r>
        <w:rPr>
          <w:szCs w:val="22"/>
        </w:rPr>
        <w:t>agencies</w:t>
      </w:r>
      <w:r w:rsidR="00B94E1A">
        <w:rPr>
          <w:szCs w:val="22"/>
        </w:rPr>
        <w:t xml:space="preserve"> and custodial organisations</w:t>
      </w:r>
      <w:r>
        <w:rPr>
          <w:szCs w:val="22"/>
        </w:rPr>
        <w:t>, as well as the public</w:t>
      </w:r>
      <w:r w:rsidR="000B4E93">
        <w:rPr>
          <w:szCs w:val="22"/>
        </w:rPr>
        <w:t>,</w:t>
      </w:r>
      <w:r>
        <w:rPr>
          <w:szCs w:val="22"/>
        </w:rPr>
        <w:t xml:space="preserve"> in a distributed custody model for </w:t>
      </w:r>
      <w:r w:rsidR="00A03BF1">
        <w:rPr>
          <w:szCs w:val="22"/>
        </w:rPr>
        <w:t>records of continuing value</w:t>
      </w:r>
      <w:r>
        <w:rPr>
          <w:szCs w:val="22"/>
        </w:rPr>
        <w:t>.</w:t>
      </w:r>
    </w:p>
    <w:p w:rsidR="00CE1FB9" w:rsidRPr="00E9448E" w:rsidRDefault="001C0807" w:rsidP="00D34F8A">
      <w:pPr>
        <w:spacing w:after="140" w:line="240" w:lineRule="atLeast"/>
        <w:ind w:right="-574"/>
        <w:rPr>
          <w:szCs w:val="22"/>
        </w:rPr>
      </w:pPr>
      <w:r w:rsidRPr="00E9448E">
        <w:rPr>
          <w:szCs w:val="22"/>
        </w:rPr>
        <w:t>B</w:t>
      </w:r>
      <w:r w:rsidR="00CE1FB9" w:rsidRPr="00E9448E">
        <w:rPr>
          <w:szCs w:val="22"/>
        </w:rPr>
        <w:t xml:space="preserve">enefits </w:t>
      </w:r>
      <w:r w:rsidRPr="00E9448E">
        <w:rPr>
          <w:szCs w:val="22"/>
        </w:rPr>
        <w:t xml:space="preserve">for </w:t>
      </w:r>
      <w:r w:rsidR="000B4E93">
        <w:rPr>
          <w:szCs w:val="22"/>
        </w:rPr>
        <w:t>all</w:t>
      </w:r>
      <w:r w:rsidR="00B94E1A">
        <w:rPr>
          <w:szCs w:val="22"/>
        </w:rPr>
        <w:t xml:space="preserve"> parties</w:t>
      </w:r>
      <w:r w:rsidRPr="00E9448E">
        <w:rPr>
          <w:szCs w:val="22"/>
        </w:rPr>
        <w:t xml:space="preserve"> in establishing a formal distributed custody arrangement </w:t>
      </w:r>
      <w:r w:rsidR="00CE1FB9" w:rsidRPr="00E9448E">
        <w:rPr>
          <w:szCs w:val="22"/>
        </w:rPr>
        <w:t>include</w:t>
      </w:r>
      <w:r w:rsidR="00726D8E">
        <w:rPr>
          <w:szCs w:val="22"/>
        </w:rPr>
        <w:t>:</w:t>
      </w:r>
      <w:r w:rsidR="00CE1FB9" w:rsidRPr="00E9448E">
        <w:rPr>
          <w:szCs w:val="22"/>
        </w:rPr>
        <w:t xml:space="preserve"> </w:t>
      </w:r>
    </w:p>
    <w:p w:rsidR="00B94E1A" w:rsidRDefault="00712553" w:rsidP="001201FA">
      <w:pPr>
        <w:pStyle w:val="Text"/>
        <w:numPr>
          <w:ilvl w:val="0"/>
          <w:numId w:val="4"/>
        </w:numPr>
        <w:spacing w:after="120"/>
        <w:ind w:right="845"/>
        <w:rPr>
          <w:rFonts w:cs="Book Antiqua"/>
          <w:szCs w:val="22"/>
        </w:rPr>
      </w:pPr>
      <w:r w:rsidRPr="00677E7D">
        <w:rPr>
          <w:rFonts w:cs="Book Antiqua"/>
          <w:szCs w:val="22"/>
        </w:rPr>
        <w:t>streamlined processes</w:t>
      </w:r>
      <w:r w:rsidR="000B4E93">
        <w:rPr>
          <w:rFonts w:cs="Book Antiqua"/>
          <w:szCs w:val="22"/>
        </w:rPr>
        <w:t>;</w:t>
      </w:r>
    </w:p>
    <w:p w:rsidR="00712553" w:rsidRPr="00677E7D" w:rsidRDefault="002C13A4" w:rsidP="001201FA">
      <w:pPr>
        <w:pStyle w:val="Text"/>
        <w:numPr>
          <w:ilvl w:val="0"/>
          <w:numId w:val="4"/>
        </w:numPr>
        <w:spacing w:after="120"/>
        <w:ind w:right="845"/>
        <w:rPr>
          <w:rFonts w:cs="Book Antiqua"/>
          <w:szCs w:val="22"/>
        </w:rPr>
      </w:pPr>
      <w:r>
        <w:rPr>
          <w:rFonts w:cs="Book Antiqua"/>
          <w:szCs w:val="22"/>
        </w:rPr>
        <w:t>improved</w:t>
      </w:r>
      <w:r w:rsidR="007447FC">
        <w:rPr>
          <w:rFonts w:cs="Book Antiqua"/>
          <w:szCs w:val="22"/>
        </w:rPr>
        <w:t xml:space="preserve"> </w:t>
      </w:r>
      <w:r w:rsidR="00B94E1A">
        <w:rPr>
          <w:rFonts w:cs="Book Antiqua"/>
          <w:szCs w:val="22"/>
        </w:rPr>
        <w:t xml:space="preserve">public </w:t>
      </w:r>
      <w:r w:rsidR="007447FC">
        <w:rPr>
          <w:rFonts w:cs="Book Antiqua"/>
          <w:szCs w:val="22"/>
        </w:rPr>
        <w:t>access</w:t>
      </w:r>
      <w:r w:rsidR="000B4E93">
        <w:rPr>
          <w:rFonts w:cs="Book Antiqua"/>
          <w:szCs w:val="22"/>
        </w:rPr>
        <w:t>;</w:t>
      </w:r>
      <w:r>
        <w:rPr>
          <w:rFonts w:cs="Book Antiqua"/>
          <w:szCs w:val="22"/>
        </w:rPr>
        <w:t xml:space="preserve"> </w:t>
      </w:r>
      <w:r w:rsidR="00726D8E">
        <w:rPr>
          <w:rFonts w:cs="Book Antiqua"/>
          <w:szCs w:val="22"/>
        </w:rPr>
        <w:t>and</w:t>
      </w:r>
      <w:r w:rsidR="00712553" w:rsidRPr="00677E7D">
        <w:rPr>
          <w:rFonts w:cs="Book Antiqua"/>
          <w:szCs w:val="22"/>
        </w:rPr>
        <w:t xml:space="preserve"> </w:t>
      </w:r>
    </w:p>
    <w:p w:rsidR="00712553" w:rsidRPr="00677E7D" w:rsidRDefault="00712553" w:rsidP="001201FA">
      <w:pPr>
        <w:pStyle w:val="Text"/>
        <w:numPr>
          <w:ilvl w:val="0"/>
          <w:numId w:val="4"/>
        </w:numPr>
        <w:spacing w:after="120"/>
        <w:ind w:right="845"/>
        <w:rPr>
          <w:rFonts w:cs="Book Antiqua"/>
          <w:szCs w:val="22"/>
        </w:rPr>
      </w:pPr>
      <w:r w:rsidRPr="00677E7D">
        <w:rPr>
          <w:rFonts w:cs="Book Antiqua"/>
          <w:szCs w:val="22"/>
        </w:rPr>
        <w:t>a more collaborative re</w:t>
      </w:r>
      <w:r w:rsidR="000B4E93">
        <w:rPr>
          <w:rFonts w:cs="Book Antiqua"/>
          <w:szCs w:val="22"/>
        </w:rPr>
        <w:t xml:space="preserve">lationship between the Archives, </w:t>
      </w:r>
      <w:r w:rsidR="00B94E1A">
        <w:rPr>
          <w:rFonts w:cs="Book Antiqua"/>
          <w:szCs w:val="22"/>
        </w:rPr>
        <w:t xml:space="preserve">controlling </w:t>
      </w:r>
      <w:r w:rsidRPr="00677E7D">
        <w:rPr>
          <w:rFonts w:cs="Book Antiqua"/>
          <w:szCs w:val="22"/>
        </w:rPr>
        <w:t>agencies</w:t>
      </w:r>
      <w:r w:rsidR="00B94E1A">
        <w:rPr>
          <w:rFonts w:cs="Book Antiqua"/>
          <w:szCs w:val="22"/>
        </w:rPr>
        <w:t xml:space="preserve"> and custodial </w:t>
      </w:r>
      <w:r w:rsidR="00701CBF">
        <w:rPr>
          <w:rFonts w:cs="Book Antiqua"/>
          <w:szCs w:val="22"/>
        </w:rPr>
        <w:t>organisations</w:t>
      </w:r>
      <w:r w:rsidRPr="00677E7D">
        <w:rPr>
          <w:rFonts w:cs="Book Antiqua"/>
          <w:szCs w:val="22"/>
        </w:rPr>
        <w:t xml:space="preserve">. </w:t>
      </w:r>
    </w:p>
    <w:p w:rsidR="00D34F8A" w:rsidRPr="00E9448E" w:rsidRDefault="0032251C" w:rsidP="00D34F8A">
      <w:pPr>
        <w:spacing w:after="140" w:line="240" w:lineRule="atLeast"/>
        <w:ind w:right="-574"/>
        <w:rPr>
          <w:szCs w:val="22"/>
        </w:rPr>
      </w:pPr>
      <w:r w:rsidRPr="00E9448E">
        <w:rPr>
          <w:szCs w:val="22"/>
        </w:rPr>
        <w:t>In addition, t</w:t>
      </w:r>
      <w:r w:rsidR="00D34F8A" w:rsidRPr="00E9448E">
        <w:rPr>
          <w:szCs w:val="22"/>
        </w:rPr>
        <w:t xml:space="preserve">he expected benefits </w:t>
      </w:r>
      <w:r w:rsidR="00D377AE" w:rsidRPr="00E9448E">
        <w:rPr>
          <w:szCs w:val="22"/>
        </w:rPr>
        <w:t xml:space="preserve">for the Archives </w:t>
      </w:r>
      <w:r w:rsidR="00D34F8A" w:rsidRPr="00E9448E">
        <w:rPr>
          <w:szCs w:val="22"/>
        </w:rPr>
        <w:t xml:space="preserve">are: </w:t>
      </w:r>
    </w:p>
    <w:p w:rsidR="00D34F8A" w:rsidRPr="00677E7D" w:rsidRDefault="004B19AF" w:rsidP="001201FA">
      <w:pPr>
        <w:pStyle w:val="Text"/>
        <w:numPr>
          <w:ilvl w:val="0"/>
          <w:numId w:val="4"/>
        </w:numPr>
        <w:spacing w:after="120"/>
        <w:ind w:right="845"/>
        <w:rPr>
          <w:rFonts w:cs="Book Antiqua"/>
          <w:szCs w:val="22"/>
        </w:rPr>
      </w:pPr>
      <w:r w:rsidRPr="00677E7D">
        <w:rPr>
          <w:rFonts w:cs="Book Antiqua"/>
          <w:szCs w:val="22"/>
        </w:rPr>
        <w:t>r</w:t>
      </w:r>
      <w:r w:rsidR="00D34F8A" w:rsidRPr="00677E7D">
        <w:rPr>
          <w:rFonts w:cs="Book Antiqua"/>
          <w:szCs w:val="22"/>
        </w:rPr>
        <w:t>educed need to duplicate specialist, complex and expensive systems</w:t>
      </w:r>
      <w:r w:rsidR="000B4E93">
        <w:rPr>
          <w:rFonts w:cs="Book Antiqua"/>
          <w:szCs w:val="22"/>
        </w:rPr>
        <w:t>;</w:t>
      </w:r>
    </w:p>
    <w:p w:rsidR="00D34F8A" w:rsidRPr="00677E7D" w:rsidRDefault="004B19AF" w:rsidP="001201FA">
      <w:pPr>
        <w:pStyle w:val="Text"/>
        <w:numPr>
          <w:ilvl w:val="0"/>
          <w:numId w:val="4"/>
        </w:numPr>
        <w:spacing w:after="120"/>
        <w:ind w:right="845"/>
        <w:rPr>
          <w:rFonts w:cs="Book Antiqua"/>
          <w:szCs w:val="22"/>
        </w:rPr>
      </w:pPr>
      <w:r w:rsidRPr="00677E7D">
        <w:rPr>
          <w:rFonts w:cs="Book Antiqua"/>
          <w:szCs w:val="22"/>
        </w:rPr>
        <w:t>r</w:t>
      </w:r>
      <w:r w:rsidR="00D34F8A" w:rsidRPr="00677E7D">
        <w:rPr>
          <w:rFonts w:cs="Book Antiqua"/>
          <w:szCs w:val="22"/>
        </w:rPr>
        <w:t>educe</w:t>
      </w:r>
      <w:r w:rsidR="00AB2632" w:rsidRPr="00677E7D">
        <w:rPr>
          <w:rFonts w:cs="Book Antiqua"/>
          <w:szCs w:val="22"/>
        </w:rPr>
        <w:t>d</w:t>
      </w:r>
      <w:r w:rsidR="00D34F8A" w:rsidRPr="00677E7D">
        <w:rPr>
          <w:rFonts w:cs="Book Antiqua"/>
          <w:szCs w:val="22"/>
        </w:rPr>
        <w:t xml:space="preserve"> storage costs</w:t>
      </w:r>
      <w:r w:rsidR="000B4E93">
        <w:rPr>
          <w:rFonts w:cs="Book Antiqua"/>
          <w:szCs w:val="22"/>
        </w:rPr>
        <w:t xml:space="preserve">; </w:t>
      </w:r>
      <w:r w:rsidR="0087421E">
        <w:rPr>
          <w:rFonts w:cs="Book Antiqua"/>
          <w:szCs w:val="22"/>
        </w:rPr>
        <w:t>and</w:t>
      </w:r>
    </w:p>
    <w:p w:rsidR="00D34F8A" w:rsidRPr="00677E7D" w:rsidRDefault="00D34F8A" w:rsidP="001201FA">
      <w:pPr>
        <w:pStyle w:val="Text"/>
        <w:numPr>
          <w:ilvl w:val="0"/>
          <w:numId w:val="4"/>
        </w:numPr>
        <w:spacing w:after="120"/>
        <w:ind w:right="845"/>
        <w:rPr>
          <w:rFonts w:cs="Book Antiqua"/>
          <w:szCs w:val="22"/>
        </w:rPr>
      </w:pPr>
      <w:r w:rsidRPr="00677E7D">
        <w:rPr>
          <w:rFonts w:cs="Book Antiqua"/>
          <w:szCs w:val="22"/>
        </w:rPr>
        <w:t>reduced preservation costs</w:t>
      </w:r>
      <w:r w:rsidR="004B19AF" w:rsidRPr="00677E7D">
        <w:rPr>
          <w:rFonts w:cs="Book Antiqua"/>
          <w:szCs w:val="22"/>
        </w:rPr>
        <w:t>.</w:t>
      </w:r>
    </w:p>
    <w:p w:rsidR="00D377AE" w:rsidRPr="00D34F8A" w:rsidRDefault="00D377AE" w:rsidP="00D377AE">
      <w:pPr>
        <w:pStyle w:val="Text"/>
        <w:spacing w:after="120"/>
        <w:ind w:right="845"/>
        <w:rPr>
          <w:rFonts w:cs="Book Antiqua"/>
        </w:rPr>
      </w:pPr>
      <w:r>
        <w:rPr>
          <w:rFonts w:cs="Book Antiqua"/>
        </w:rPr>
        <w:t xml:space="preserve">The expected </w:t>
      </w:r>
      <w:r w:rsidR="0032251C">
        <w:rPr>
          <w:rFonts w:cs="Book Antiqua"/>
        </w:rPr>
        <w:t xml:space="preserve">additional </w:t>
      </w:r>
      <w:r>
        <w:rPr>
          <w:rFonts w:cs="Book Antiqua"/>
        </w:rPr>
        <w:t xml:space="preserve">benefits for </w:t>
      </w:r>
      <w:r w:rsidR="00B94E1A">
        <w:rPr>
          <w:rFonts w:cs="Book Antiqua"/>
        </w:rPr>
        <w:t xml:space="preserve">custodial organisations </w:t>
      </w:r>
      <w:r>
        <w:rPr>
          <w:rFonts w:cs="Book Antiqua"/>
        </w:rPr>
        <w:t>are:</w:t>
      </w:r>
    </w:p>
    <w:p w:rsidR="00605DC8" w:rsidRDefault="004B19AF" w:rsidP="001201FA">
      <w:pPr>
        <w:pStyle w:val="Text"/>
        <w:numPr>
          <w:ilvl w:val="0"/>
          <w:numId w:val="4"/>
        </w:numPr>
        <w:spacing w:after="120"/>
        <w:ind w:right="845"/>
        <w:rPr>
          <w:rFonts w:cs="Book Antiqua"/>
        </w:rPr>
      </w:pPr>
      <w:r>
        <w:rPr>
          <w:rFonts w:cs="Book Antiqua"/>
        </w:rPr>
        <w:t>i</w:t>
      </w:r>
      <w:r w:rsidR="00D34F8A" w:rsidRPr="00D34F8A">
        <w:rPr>
          <w:rFonts w:cs="Book Antiqua"/>
        </w:rPr>
        <w:t xml:space="preserve">ncreased ability to reuse information within the </w:t>
      </w:r>
      <w:r w:rsidR="00B94E1A">
        <w:rPr>
          <w:rFonts w:cs="Book Antiqua"/>
        </w:rPr>
        <w:t>organisation</w:t>
      </w:r>
      <w:r w:rsidR="000B4E93">
        <w:rPr>
          <w:rFonts w:cs="Book Antiqua"/>
        </w:rPr>
        <w:t>;</w:t>
      </w:r>
      <w:r w:rsidR="00D34F8A" w:rsidRPr="00D34F8A">
        <w:rPr>
          <w:rFonts w:cs="Book Antiqua"/>
        </w:rPr>
        <w:t xml:space="preserve"> and</w:t>
      </w:r>
    </w:p>
    <w:p w:rsidR="00D34F8A" w:rsidRDefault="00D34F8A" w:rsidP="001201FA">
      <w:pPr>
        <w:pStyle w:val="Text"/>
        <w:numPr>
          <w:ilvl w:val="0"/>
          <w:numId w:val="4"/>
        </w:numPr>
        <w:spacing w:after="120"/>
        <w:ind w:right="845"/>
        <w:rPr>
          <w:rFonts w:cs="Book Antiqua"/>
        </w:rPr>
      </w:pPr>
      <w:r w:rsidRPr="00D34F8A">
        <w:rPr>
          <w:rFonts w:cs="Book Antiqua"/>
        </w:rPr>
        <w:t>creat</w:t>
      </w:r>
      <w:r w:rsidR="00605DC8">
        <w:rPr>
          <w:rFonts w:cs="Book Antiqua"/>
        </w:rPr>
        <w:t>ion of</w:t>
      </w:r>
      <w:r w:rsidRPr="00D34F8A">
        <w:rPr>
          <w:rFonts w:cs="Book Antiqua"/>
        </w:rPr>
        <w:t xml:space="preserve"> new business opportun</w:t>
      </w:r>
      <w:r w:rsidR="004B19AF">
        <w:rPr>
          <w:rFonts w:cs="Book Antiqua"/>
        </w:rPr>
        <w:t>iti</w:t>
      </w:r>
      <w:r w:rsidR="005F5C52">
        <w:rPr>
          <w:rFonts w:cs="Book Antiqua"/>
        </w:rPr>
        <w:t>es</w:t>
      </w:r>
      <w:r w:rsidR="00A912EB">
        <w:rPr>
          <w:rFonts w:cs="Book Antiqua"/>
        </w:rPr>
        <w:t>.</w:t>
      </w:r>
    </w:p>
    <w:p w:rsidR="00677E7D" w:rsidRPr="00D34F8A" w:rsidRDefault="00677E7D" w:rsidP="00E9448E">
      <w:pPr>
        <w:pStyle w:val="Text"/>
        <w:spacing w:after="120"/>
        <w:ind w:right="845"/>
        <w:rPr>
          <w:rFonts w:cs="Book Antiqua"/>
        </w:rPr>
      </w:pPr>
      <w:r>
        <w:rPr>
          <w:rFonts w:cs="Book Antiqua"/>
        </w:rPr>
        <w:t>The expected benefit</w:t>
      </w:r>
      <w:r w:rsidR="000B4E93">
        <w:rPr>
          <w:rFonts w:cs="Book Antiqua"/>
        </w:rPr>
        <w:t>s</w:t>
      </w:r>
      <w:r>
        <w:rPr>
          <w:rFonts w:cs="Book Antiqua"/>
        </w:rPr>
        <w:t xml:space="preserve"> for the community </w:t>
      </w:r>
      <w:r w:rsidR="000B4E93">
        <w:rPr>
          <w:rFonts w:cs="Book Antiqua"/>
        </w:rPr>
        <w:t>include</w:t>
      </w:r>
      <w:r>
        <w:rPr>
          <w:rFonts w:cs="Book Antiqua"/>
        </w:rPr>
        <w:t>:</w:t>
      </w:r>
    </w:p>
    <w:p w:rsidR="00D34F8A" w:rsidRPr="00D34F8A" w:rsidRDefault="001C0807" w:rsidP="001201FA">
      <w:pPr>
        <w:pStyle w:val="Text"/>
        <w:numPr>
          <w:ilvl w:val="0"/>
          <w:numId w:val="4"/>
        </w:numPr>
        <w:spacing w:after="120"/>
        <w:ind w:right="845"/>
        <w:rPr>
          <w:rFonts w:cs="Book Antiqua"/>
        </w:rPr>
      </w:pPr>
      <w:r>
        <w:rPr>
          <w:rFonts w:cs="Book Antiqua"/>
        </w:rPr>
        <w:t xml:space="preserve">enhanced access </w:t>
      </w:r>
      <w:r w:rsidR="000B4E93">
        <w:rPr>
          <w:rFonts w:cs="Book Antiqua"/>
        </w:rPr>
        <w:t>in situations where</w:t>
      </w:r>
      <w:r>
        <w:rPr>
          <w:rFonts w:cs="Book Antiqua"/>
        </w:rPr>
        <w:t xml:space="preserve"> </w:t>
      </w:r>
      <w:r w:rsidR="00B94E1A">
        <w:rPr>
          <w:rFonts w:cs="Book Antiqua"/>
        </w:rPr>
        <w:t>custodial organisations</w:t>
      </w:r>
      <w:r w:rsidR="00D34F8A" w:rsidRPr="00D34F8A">
        <w:rPr>
          <w:rFonts w:cs="Book Antiqua"/>
        </w:rPr>
        <w:t xml:space="preserve"> are better placed to interpret </w:t>
      </w:r>
      <w:r w:rsidR="00B94E1A">
        <w:rPr>
          <w:rFonts w:cs="Book Antiqua"/>
        </w:rPr>
        <w:t>the</w:t>
      </w:r>
      <w:r w:rsidR="00D34F8A" w:rsidRPr="00D34F8A">
        <w:rPr>
          <w:rFonts w:cs="Book Antiqua"/>
        </w:rPr>
        <w:t xml:space="preserve"> records</w:t>
      </w:r>
      <w:r w:rsidR="00701CBF">
        <w:rPr>
          <w:rFonts w:cs="Book Antiqua"/>
        </w:rPr>
        <w:t>.</w:t>
      </w:r>
    </w:p>
    <w:p w:rsidR="000B4E93" w:rsidRDefault="000B4E93">
      <w:pPr>
        <w:rPr>
          <w:rFonts w:ascii="Arial Black" w:hAnsi="Arial Black"/>
          <w:sz w:val="20"/>
        </w:rPr>
      </w:pPr>
      <w:r>
        <w:br w:type="page"/>
      </w:r>
    </w:p>
    <w:p w:rsidR="00D34F8A" w:rsidRDefault="000B4E93" w:rsidP="00A717A4">
      <w:pPr>
        <w:pStyle w:val="Heading2"/>
        <w:spacing w:before="0"/>
      </w:pPr>
      <w:bookmarkStart w:id="49" w:name="_Toc435969420"/>
      <w:bookmarkStart w:id="50" w:name="_Toc435969743"/>
      <w:r>
        <w:lastRenderedPageBreak/>
        <w:t xml:space="preserve">8.2 </w:t>
      </w:r>
      <w:r w:rsidR="00D34F8A">
        <w:t>Risks</w:t>
      </w:r>
      <w:bookmarkEnd w:id="49"/>
      <w:bookmarkEnd w:id="50"/>
      <w:r w:rsidR="00D34F8A">
        <w:t xml:space="preserve"> </w:t>
      </w:r>
    </w:p>
    <w:p w:rsidR="0065469C" w:rsidRPr="0065469C" w:rsidRDefault="0065469C" w:rsidP="0065469C">
      <w:pPr>
        <w:pStyle w:val="Text"/>
      </w:pPr>
      <w:r>
        <w:t>The following major risks and associated mitigation strategies have been identified</w:t>
      </w:r>
      <w:r w:rsidR="00F012BD">
        <w:t xml:space="preserve"> for the Archive</w:t>
      </w:r>
      <w:r w:rsidR="00A51A08">
        <w:t>s</w:t>
      </w:r>
      <w:r w:rsidR="00F012BD">
        <w:t xml:space="preserve"> and for </w:t>
      </w:r>
      <w:r w:rsidR="00B94E1A">
        <w:t>custodial organisations</w:t>
      </w:r>
      <w:r w:rsidR="00677E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87"/>
      </w:tblGrid>
      <w:tr w:rsidR="00D34F8A" w:rsidTr="00A717A4">
        <w:tc>
          <w:tcPr>
            <w:tcW w:w="3227" w:type="dxa"/>
            <w:shd w:val="clear" w:color="auto" w:fill="auto"/>
          </w:tcPr>
          <w:p w:rsidR="00D34F8A" w:rsidRPr="00E73F9E" w:rsidRDefault="00D34F8A" w:rsidP="003C6715">
            <w:pPr>
              <w:pStyle w:val="Text"/>
              <w:jc w:val="center"/>
              <w:rPr>
                <w:b/>
              </w:rPr>
            </w:pPr>
            <w:r w:rsidRPr="00E73F9E">
              <w:rPr>
                <w:b/>
              </w:rPr>
              <w:t>Major Risks</w:t>
            </w:r>
          </w:p>
        </w:tc>
        <w:tc>
          <w:tcPr>
            <w:tcW w:w="5487" w:type="dxa"/>
            <w:shd w:val="clear" w:color="auto" w:fill="auto"/>
          </w:tcPr>
          <w:p w:rsidR="00D34F8A" w:rsidRPr="00E73F9E" w:rsidRDefault="00D34F8A" w:rsidP="00E73F9E">
            <w:pPr>
              <w:pStyle w:val="Text"/>
              <w:jc w:val="center"/>
              <w:rPr>
                <w:b/>
              </w:rPr>
            </w:pPr>
            <w:r w:rsidRPr="00E73F9E">
              <w:rPr>
                <w:b/>
              </w:rPr>
              <w:t>Mitigating Strategies</w:t>
            </w:r>
          </w:p>
        </w:tc>
      </w:tr>
      <w:tr w:rsidR="00D34F8A" w:rsidTr="00A717A4">
        <w:tc>
          <w:tcPr>
            <w:tcW w:w="3227" w:type="dxa"/>
            <w:shd w:val="clear" w:color="auto" w:fill="auto"/>
          </w:tcPr>
          <w:p w:rsidR="00D34F8A" w:rsidRDefault="0065469C" w:rsidP="00CC5165">
            <w:pPr>
              <w:pStyle w:val="Text"/>
            </w:pPr>
            <w:r>
              <w:t xml:space="preserve">Archives does not </w:t>
            </w:r>
            <w:r w:rsidR="00CC5165">
              <w:t>meet its obligations under the Act.</w:t>
            </w:r>
          </w:p>
        </w:tc>
        <w:tc>
          <w:tcPr>
            <w:tcW w:w="5487" w:type="dxa"/>
            <w:shd w:val="clear" w:color="auto" w:fill="auto"/>
          </w:tcPr>
          <w:p w:rsidR="00CC5165" w:rsidRDefault="00CC5165" w:rsidP="00CC5165">
            <w:pPr>
              <w:pStyle w:val="Text"/>
            </w:pPr>
            <w:r>
              <w:t xml:space="preserve">Provide </w:t>
            </w:r>
            <w:r w:rsidR="00B94E1A">
              <w:t>custodial organisations</w:t>
            </w:r>
            <w:r>
              <w:t xml:space="preserve"> with guidance and support to ensure proper care and preservation of, and access to, records in their custody.</w:t>
            </w:r>
          </w:p>
          <w:p w:rsidR="00CC5165" w:rsidRDefault="00CC5165" w:rsidP="00CC5165">
            <w:pPr>
              <w:pStyle w:val="Text"/>
            </w:pPr>
            <w:r>
              <w:t>Provide infrastructure to support public access to records in distributed custody arrangements (</w:t>
            </w:r>
            <w:r w:rsidR="002C13A4">
              <w:t>eg</w:t>
            </w:r>
            <w:r>
              <w:t xml:space="preserve"> online finding aid</w:t>
            </w:r>
            <w:r w:rsidR="0087421E">
              <w:t xml:space="preserve"> such as RecordSearch</w:t>
            </w:r>
            <w:r>
              <w:t>).</w:t>
            </w:r>
          </w:p>
          <w:p w:rsidR="00CC5165" w:rsidRDefault="00CC5165" w:rsidP="00CC5165">
            <w:pPr>
              <w:pStyle w:val="Text"/>
            </w:pPr>
            <w:r>
              <w:t>Undertake regular monitoring of distributed custody arrangements in line with section 64 agreement.</w:t>
            </w:r>
          </w:p>
        </w:tc>
      </w:tr>
      <w:tr w:rsidR="003C6715" w:rsidTr="00A717A4">
        <w:tc>
          <w:tcPr>
            <w:tcW w:w="3227" w:type="dxa"/>
            <w:shd w:val="clear" w:color="auto" w:fill="auto"/>
          </w:tcPr>
          <w:p w:rsidR="003C6715" w:rsidRDefault="003C6715" w:rsidP="003C6715">
            <w:pPr>
              <w:pStyle w:val="Text"/>
            </w:pPr>
            <w:r>
              <w:t>Custodial agencies do not have the skills or resources to meet obligations under section 64 agreement.</w:t>
            </w:r>
          </w:p>
        </w:tc>
        <w:tc>
          <w:tcPr>
            <w:tcW w:w="5487" w:type="dxa"/>
            <w:shd w:val="clear" w:color="auto" w:fill="auto"/>
          </w:tcPr>
          <w:p w:rsidR="003C6715" w:rsidRDefault="003C6715" w:rsidP="003C6715">
            <w:pPr>
              <w:pStyle w:val="Text"/>
            </w:pPr>
            <w:r>
              <w:t xml:space="preserve">Provide </w:t>
            </w:r>
            <w:r w:rsidR="00B94E1A">
              <w:t xml:space="preserve">custodial organisations </w:t>
            </w:r>
            <w:r>
              <w:t>with adequate guidance and support to ensure proper care and preservation of, and access to, records in their custody.</w:t>
            </w:r>
          </w:p>
          <w:p w:rsidR="003C6715" w:rsidRDefault="003C6715" w:rsidP="003C6715">
            <w:pPr>
              <w:pStyle w:val="Text"/>
            </w:pPr>
            <w:r>
              <w:t xml:space="preserve">Develop network amongst custodial </w:t>
            </w:r>
            <w:r w:rsidR="00701CBF">
              <w:t>organisations</w:t>
            </w:r>
            <w:r>
              <w:t xml:space="preserve"> to support sharing of resources and skills.</w:t>
            </w:r>
          </w:p>
          <w:p w:rsidR="003C6715" w:rsidRDefault="003C6715" w:rsidP="005C70CF">
            <w:pPr>
              <w:pStyle w:val="Text"/>
            </w:pPr>
            <w:r>
              <w:t>Exercise right</w:t>
            </w:r>
            <w:r w:rsidR="00B94E1A">
              <w:t>s</w:t>
            </w:r>
            <w:r>
              <w:t xml:space="preserve"> under s</w:t>
            </w:r>
            <w:r w:rsidR="002C13A4">
              <w:t xml:space="preserve">ection </w:t>
            </w:r>
            <w:r>
              <w:t>64 agreement to bring records into Archives</w:t>
            </w:r>
            <w:r w:rsidR="00207A21">
              <w:t>’</w:t>
            </w:r>
            <w:r>
              <w:t xml:space="preserve"> custody.</w:t>
            </w:r>
          </w:p>
        </w:tc>
      </w:tr>
      <w:tr w:rsidR="003C6715" w:rsidTr="00A717A4">
        <w:tc>
          <w:tcPr>
            <w:tcW w:w="3227" w:type="dxa"/>
            <w:shd w:val="clear" w:color="auto" w:fill="auto"/>
          </w:tcPr>
          <w:p w:rsidR="003C6715" w:rsidRDefault="002C13A4" w:rsidP="002C13A4">
            <w:pPr>
              <w:pStyle w:val="Text"/>
            </w:pPr>
            <w:r>
              <w:t xml:space="preserve">Archives does not have sufficient </w:t>
            </w:r>
            <w:r w:rsidR="003C6715">
              <w:t>resources available to undertake support and monitoring activities</w:t>
            </w:r>
            <w:r w:rsidR="00207A21">
              <w:t>.</w:t>
            </w:r>
          </w:p>
        </w:tc>
        <w:tc>
          <w:tcPr>
            <w:tcW w:w="5487" w:type="dxa"/>
            <w:shd w:val="clear" w:color="auto" w:fill="auto"/>
          </w:tcPr>
          <w:p w:rsidR="003C6715" w:rsidRDefault="003C6715" w:rsidP="00FD7447">
            <w:pPr>
              <w:pStyle w:val="Text"/>
            </w:pPr>
            <w:r>
              <w:t xml:space="preserve">Develop </w:t>
            </w:r>
            <w:r w:rsidR="00B94E1A">
              <w:t xml:space="preserve">standardised, </w:t>
            </w:r>
            <w:r>
              <w:t>streamlined arrangements (</w:t>
            </w:r>
            <w:r w:rsidR="002C13A4">
              <w:t>eg</w:t>
            </w:r>
            <w:r>
              <w:t xml:space="preserve"> standard advice on website).</w:t>
            </w:r>
          </w:p>
          <w:p w:rsidR="003C6715" w:rsidRDefault="003C6715" w:rsidP="00FD7447">
            <w:pPr>
              <w:pStyle w:val="Text"/>
            </w:pPr>
            <w:r>
              <w:t xml:space="preserve">Develop annual plan to inspect </w:t>
            </w:r>
            <w:r w:rsidR="00B94E1A">
              <w:t xml:space="preserve">custodial </w:t>
            </w:r>
            <w:r w:rsidR="00701CBF">
              <w:t>organisations</w:t>
            </w:r>
            <w:r>
              <w:t xml:space="preserve"> in rotation.</w:t>
            </w:r>
          </w:p>
          <w:p w:rsidR="003C6715" w:rsidRDefault="003C6715" w:rsidP="000B4E93">
            <w:pPr>
              <w:pStyle w:val="Text"/>
            </w:pPr>
            <w:r>
              <w:t>Require</w:t>
            </w:r>
            <w:r w:rsidR="00A03BF1">
              <w:t xml:space="preserve"> </w:t>
            </w:r>
            <w:r w:rsidR="000B4E93">
              <w:t xml:space="preserve">head of </w:t>
            </w:r>
            <w:r w:rsidR="00CF6056">
              <w:t xml:space="preserve">custodial </w:t>
            </w:r>
            <w:r w:rsidR="000B4E93">
              <w:t xml:space="preserve">organisation </w:t>
            </w:r>
            <w:r>
              <w:t>to take ultimate responsibility for meeting s</w:t>
            </w:r>
            <w:r w:rsidR="002C13A4">
              <w:t xml:space="preserve">ection </w:t>
            </w:r>
            <w:r>
              <w:t>64 agreement.</w:t>
            </w:r>
          </w:p>
        </w:tc>
      </w:tr>
      <w:tr w:rsidR="003C6715" w:rsidTr="00A717A4">
        <w:tc>
          <w:tcPr>
            <w:tcW w:w="3227" w:type="dxa"/>
            <w:shd w:val="clear" w:color="auto" w:fill="auto"/>
          </w:tcPr>
          <w:p w:rsidR="003C6715" w:rsidRDefault="003C6715" w:rsidP="003C6715">
            <w:pPr>
              <w:pStyle w:val="Text"/>
            </w:pPr>
            <w:r>
              <w:t xml:space="preserve">Archival resources become </w:t>
            </w:r>
            <w:r w:rsidR="00207A21">
              <w:t xml:space="preserve">too </w:t>
            </w:r>
            <w:r>
              <w:t>dispersed.</w:t>
            </w:r>
          </w:p>
        </w:tc>
        <w:tc>
          <w:tcPr>
            <w:tcW w:w="5487" w:type="dxa"/>
            <w:shd w:val="clear" w:color="auto" w:fill="auto"/>
          </w:tcPr>
          <w:p w:rsidR="003C6715" w:rsidRDefault="00207A21" w:rsidP="00207A21">
            <w:pPr>
              <w:pStyle w:val="Text"/>
            </w:pPr>
            <w:r>
              <w:t>Ensure distributed custody arrangements are only entered into according to agreed criteria.</w:t>
            </w:r>
          </w:p>
          <w:p w:rsidR="00207A21" w:rsidRDefault="00207A21" w:rsidP="00207A21">
            <w:pPr>
              <w:pStyle w:val="Text"/>
            </w:pPr>
            <w:r>
              <w:t>Identify opportunities for collaboration (</w:t>
            </w:r>
            <w:r w:rsidR="002C13A4">
              <w:t>eg</w:t>
            </w:r>
            <w:r>
              <w:t xml:space="preserve"> co-locating two arrangements).</w:t>
            </w:r>
          </w:p>
        </w:tc>
      </w:tr>
      <w:tr w:rsidR="00D377AE" w:rsidTr="00A717A4">
        <w:tc>
          <w:tcPr>
            <w:tcW w:w="3227" w:type="dxa"/>
            <w:shd w:val="clear" w:color="auto" w:fill="auto"/>
          </w:tcPr>
          <w:p w:rsidR="00D377AE" w:rsidRDefault="00D377AE" w:rsidP="00207A21">
            <w:pPr>
              <w:pStyle w:val="Text"/>
            </w:pPr>
            <w:r>
              <w:t xml:space="preserve">Negative impact on Archives’ reputation due to </w:t>
            </w:r>
            <w:r w:rsidR="00207A21">
              <w:t>perceived lack of relevance.</w:t>
            </w:r>
          </w:p>
        </w:tc>
        <w:tc>
          <w:tcPr>
            <w:tcW w:w="5487" w:type="dxa"/>
            <w:shd w:val="clear" w:color="auto" w:fill="auto"/>
          </w:tcPr>
          <w:p w:rsidR="00D377AE" w:rsidRDefault="00207A21" w:rsidP="005C70CF">
            <w:pPr>
              <w:pStyle w:val="Text"/>
            </w:pPr>
            <w:r>
              <w:t xml:space="preserve">Maintain </w:t>
            </w:r>
            <w:r w:rsidR="000B4E93">
              <w:t>Archives’</w:t>
            </w:r>
            <w:r>
              <w:t xml:space="preserve"> custody as the default, and only enter into distributed custody arrangements according to agreed criteria.</w:t>
            </w:r>
          </w:p>
          <w:p w:rsidR="00207A21" w:rsidRDefault="00207A21" w:rsidP="005C70CF">
            <w:pPr>
              <w:pStyle w:val="Text"/>
            </w:pPr>
            <w:r>
              <w:t>Provide central access point (</w:t>
            </w:r>
            <w:r w:rsidR="002C13A4">
              <w:t>eg</w:t>
            </w:r>
            <w:r>
              <w:t xml:space="preserve"> online finding aid</w:t>
            </w:r>
            <w:r w:rsidR="0087421E">
              <w:t xml:space="preserve"> such as RecordSearch</w:t>
            </w:r>
            <w:r>
              <w:t xml:space="preserve">) to records in </w:t>
            </w:r>
            <w:r w:rsidR="000B4E93">
              <w:t xml:space="preserve">both </w:t>
            </w:r>
            <w:r>
              <w:t xml:space="preserve">Archives </w:t>
            </w:r>
            <w:r w:rsidR="000B4E93">
              <w:t xml:space="preserve">custody </w:t>
            </w:r>
            <w:r>
              <w:t>and distributed custody arrangements.</w:t>
            </w:r>
          </w:p>
          <w:p w:rsidR="005C70CF" w:rsidRDefault="00207A21" w:rsidP="005C70CF">
            <w:pPr>
              <w:pStyle w:val="Text"/>
            </w:pPr>
            <w:r>
              <w:t xml:space="preserve">Develop communication plan and a clear message for the purpose and benefits of distributed custody arrangements. </w:t>
            </w:r>
          </w:p>
        </w:tc>
      </w:tr>
    </w:tbl>
    <w:p w:rsidR="00CE4709" w:rsidRDefault="00CE4709" w:rsidP="001201FA">
      <w:pPr>
        <w:pStyle w:val="Heading1"/>
        <w:numPr>
          <w:ilvl w:val="0"/>
          <w:numId w:val="1"/>
        </w:numPr>
      </w:pPr>
      <w:bookmarkStart w:id="51" w:name="_Toc435969421"/>
      <w:bookmarkStart w:id="52" w:name="_Toc435969744"/>
      <w:r>
        <w:lastRenderedPageBreak/>
        <w:t>review</w:t>
      </w:r>
      <w:bookmarkEnd w:id="51"/>
      <w:bookmarkEnd w:id="52"/>
    </w:p>
    <w:p w:rsidR="002F44A9" w:rsidRDefault="00CE4709" w:rsidP="0042234F">
      <w:pPr>
        <w:pStyle w:val="Text"/>
      </w:pPr>
      <w:r>
        <w:t>Collection Management</w:t>
      </w:r>
      <w:r w:rsidR="002C13A4">
        <w:t>,</w:t>
      </w:r>
      <w:r>
        <w:t xml:space="preserve"> in consultation with Government Information Assurance and Policy, Access and Communications and other relevant inte</w:t>
      </w:r>
      <w:r w:rsidR="00F42638">
        <w:t>rna</w:t>
      </w:r>
      <w:r>
        <w:t>l and exte</w:t>
      </w:r>
      <w:r w:rsidR="00F42638">
        <w:t>rna</w:t>
      </w:r>
      <w:r>
        <w:t>l stakeholders</w:t>
      </w:r>
      <w:r w:rsidR="002C13A4">
        <w:t>,</w:t>
      </w:r>
      <w:r>
        <w:t xml:space="preserve"> will review this Policy every 3 years. Supporting document</w:t>
      </w:r>
      <w:r w:rsidR="001C0807">
        <w:t>s</w:t>
      </w:r>
      <w:r>
        <w:t xml:space="preserve"> will be reviewed at least every </w:t>
      </w:r>
      <w:r w:rsidR="000B4E93">
        <w:t>3</w:t>
      </w:r>
      <w:r>
        <w:t xml:space="preserve"> years or as required. </w:t>
      </w:r>
    </w:p>
    <w:p w:rsidR="0042234F" w:rsidRDefault="00CE4709" w:rsidP="0042234F">
      <w:pPr>
        <w:pStyle w:val="Text"/>
      </w:pPr>
      <w:r>
        <w:t xml:space="preserve">The </w:t>
      </w:r>
      <w:r w:rsidR="001C0807">
        <w:t>p</w:t>
      </w:r>
      <w:r>
        <w:t xml:space="preserve">olicy will also be </w:t>
      </w:r>
      <w:r w:rsidR="000B4E93">
        <w:t>evaluated at the time of review t</w:t>
      </w:r>
      <w:r>
        <w:t xml:space="preserve">o assess whether objectives have been met. </w:t>
      </w:r>
    </w:p>
    <w:p w:rsidR="00A717A4" w:rsidRDefault="00A717A4" w:rsidP="00A717A4">
      <w:pPr>
        <w:pStyle w:val="Heading1"/>
        <w:numPr>
          <w:ilvl w:val="0"/>
          <w:numId w:val="1"/>
        </w:numPr>
      </w:pPr>
      <w:bookmarkStart w:id="53" w:name="_Toc435969422"/>
      <w:bookmarkStart w:id="54" w:name="_Toc435969745"/>
      <w:r>
        <w:t>authorisation</w:t>
      </w:r>
      <w:bookmarkEnd w:id="53"/>
      <w:bookmarkEnd w:id="54"/>
    </w:p>
    <w:p w:rsidR="001201FA" w:rsidRDefault="001201FA" w:rsidP="001201FA">
      <w:pPr>
        <w:pStyle w:val="Text"/>
      </w:pPr>
      <w:r>
        <w:t>This policy has been approved by:</w:t>
      </w:r>
    </w:p>
    <w:p w:rsidR="001201FA" w:rsidRDefault="001201FA" w:rsidP="001201FA">
      <w:pPr>
        <w:pStyle w:val="Text"/>
        <w:spacing w:after="0"/>
      </w:pPr>
    </w:p>
    <w:p w:rsidR="001201FA" w:rsidRDefault="001201FA" w:rsidP="001201FA">
      <w:pPr>
        <w:pStyle w:val="Text"/>
        <w:spacing w:after="0"/>
      </w:pPr>
    </w:p>
    <w:p w:rsidR="001201FA" w:rsidRDefault="001201FA" w:rsidP="001201FA">
      <w:pPr>
        <w:pStyle w:val="Text"/>
        <w:spacing w:after="0"/>
      </w:pPr>
    </w:p>
    <w:p w:rsidR="001201FA" w:rsidRDefault="001201FA" w:rsidP="001201FA">
      <w:pPr>
        <w:pStyle w:val="Text"/>
      </w:pPr>
      <w:r>
        <w:t>David Fricker</w:t>
      </w:r>
    </w:p>
    <w:p w:rsidR="001201FA" w:rsidRDefault="001201FA" w:rsidP="001201FA">
      <w:pPr>
        <w:pStyle w:val="Text"/>
      </w:pPr>
      <w:r>
        <w:t>Director-General</w:t>
      </w:r>
    </w:p>
    <w:p w:rsidR="001201FA" w:rsidRDefault="001201FA" w:rsidP="001201FA">
      <w:pPr>
        <w:pStyle w:val="Text"/>
      </w:pPr>
      <w:r>
        <w:t xml:space="preserve">National Archives of Australia </w:t>
      </w:r>
    </w:p>
    <w:p w:rsidR="001201FA" w:rsidRDefault="001201FA" w:rsidP="001201FA">
      <w:pPr>
        <w:pStyle w:val="Text"/>
      </w:pPr>
      <w:bookmarkStart w:id="55" w:name="OPCCursorOriginal"/>
      <w:bookmarkStart w:id="56" w:name="h55"/>
      <w:bookmarkStart w:id="57" w:name="h56"/>
      <w:bookmarkStart w:id="58" w:name="c184"/>
      <w:bookmarkStart w:id="59" w:name="h57"/>
      <w:bookmarkStart w:id="60" w:name="h68"/>
      <w:bookmarkStart w:id="61" w:name="h69"/>
      <w:bookmarkStart w:id="62" w:name="h70"/>
      <w:bookmarkStart w:id="63" w:name="c180"/>
      <w:bookmarkStart w:id="64" w:name="c181"/>
      <w:bookmarkStart w:id="65" w:name="c178"/>
      <w:bookmarkStart w:id="66" w:name="c185"/>
      <w:bookmarkStart w:id="67" w:name="c186"/>
      <w:bookmarkStart w:id="68" w:name="c187"/>
      <w:bookmarkStart w:id="69" w:name="c188"/>
      <w:bookmarkStart w:id="70" w:name="h59"/>
      <w:bookmarkStart w:id="71" w:name="c182"/>
      <w:bookmarkStart w:id="72" w:name="c183"/>
      <w:bookmarkStart w:id="73" w:name="h54"/>
      <w:bookmarkStart w:id="74" w:name="insurance"/>
      <w:bookmarkStart w:id="75" w:name="c201"/>
      <w:bookmarkStart w:id="76" w:name="c215"/>
      <w:bookmarkStart w:id="77" w:name="h66"/>
      <w:bookmarkStart w:id="78" w:name="c202"/>
      <w:bookmarkStart w:id="79" w:name="c203"/>
      <w:bookmarkStart w:id="80" w:name="c204"/>
      <w:bookmarkStart w:id="81" w:name="c205"/>
      <w:bookmarkStart w:id="82" w:name="c206"/>
      <w:bookmarkStart w:id="83" w:name="c207"/>
      <w:bookmarkStart w:id="84" w:name="c208"/>
      <w:bookmarkStart w:id="85" w:name="c209"/>
      <w:bookmarkStart w:id="86" w:name="h58"/>
      <w:bookmarkStart w:id="87" w:name="h60"/>
      <w:bookmarkStart w:id="88" w:name="c192"/>
      <w:bookmarkStart w:id="89" w:name="c194"/>
      <w:bookmarkStart w:id="90" w:name="h6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August 2015</w:t>
      </w:r>
    </w:p>
    <w:p w:rsidR="001201FA" w:rsidRDefault="001201FA" w:rsidP="0042234F">
      <w:pPr>
        <w:pStyle w:val="Text"/>
      </w:pPr>
    </w:p>
    <w:p w:rsidR="0042234F" w:rsidRDefault="00A61E07" w:rsidP="001074D4">
      <w:r>
        <w:br w:type="page"/>
      </w:r>
    </w:p>
    <w:p w:rsidR="003A0B10" w:rsidRDefault="003A0B10" w:rsidP="003A0B10">
      <w:pPr>
        <w:pStyle w:val="Heading1"/>
        <w:ind w:left="0" w:firstLine="0"/>
      </w:pPr>
      <w:bookmarkStart w:id="91" w:name="_Toc435969423"/>
      <w:bookmarkStart w:id="92" w:name="_Toc435969746"/>
      <w:r>
        <w:lastRenderedPageBreak/>
        <w:t xml:space="preserve">appendix </w:t>
      </w:r>
      <w:r w:rsidR="00266EBE">
        <w:t>1</w:t>
      </w:r>
      <w:r>
        <w:tab/>
        <w:t>d</w:t>
      </w:r>
      <w:r w:rsidR="00266EBE">
        <w:t>efinitions</w:t>
      </w:r>
      <w:bookmarkEnd w:id="91"/>
      <w:bookmarkEnd w:id="92"/>
    </w:p>
    <w:p w:rsidR="003A0B10" w:rsidRDefault="003A0B10" w:rsidP="003A0B10">
      <w:pPr>
        <w:pStyle w:val="Text"/>
      </w:pPr>
    </w:p>
    <w:tbl>
      <w:tblPr>
        <w:tblStyle w:val="TableGrid"/>
        <w:tblW w:w="0" w:type="auto"/>
        <w:tblLook w:val="04A0" w:firstRow="1" w:lastRow="0" w:firstColumn="1" w:lastColumn="0" w:noHBand="0" w:noVBand="1"/>
      </w:tblPr>
      <w:tblGrid>
        <w:gridCol w:w="2376"/>
        <w:gridCol w:w="6338"/>
      </w:tblGrid>
      <w:tr w:rsidR="003A0B10" w:rsidTr="003F5078">
        <w:tc>
          <w:tcPr>
            <w:tcW w:w="2376" w:type="dxa"/>
          </w:tcPr>
          <w:p w:rsidR="003A0B10" w:rsidRDefault="003A0B10" w:rsidP="003F5078">
            <w:pPr>
              <w:pStyle w:val="Text"/>
            </w:pPr>
            <w:r w:rsidRPr="00756230">
              <w:t>Care</w:t>
            </w:r>
          </w:p>
        </w:tc>
        <w:tc>
          <w:tcPr>
            <w:tcW w:w="6338" w:type="dxa"/>
          </w:tcPr>
          <w:p w:rsidR="003A0B10" w:rsidRDefault="003A0B10" w:rsidP="00C374E2">
            <w:pPr>
              <w:pStyle w:val="Text"/>
            </w:pPr>
            <w:r>
              <w:t xml:space="preserve">Under section 37 of the </w:t>
            </w:r>
            <w:r w:rsidRPr="00563006">
              <w:rPr>
                <w:i/>
              </w:rPr>
              <w:t>Archives Act 1983</w:t>
            </w:r>
            <w:r>
              <w:t xml:space="preserve">, to care for the record is to </w:t>
            </w:r>
            <w:r w:rsidR="00C374E2">
              <w:t xml:space="preserve">be responsible for </w:t>
            </w:r>
            <w:r>
              <w:t>its safe custody and proper preservation.</w:t>
            </w:r>
            <w:r w:rsidR="00493EAA">
              <w:t xml:space="preserve"> ‘Care’ is broader</w:t>
            </w:r>
            <w:r w:rsidR="00C374E2">
              <w:t xml:space="preserve"> than ‘custody’ and applies to re</w:t>
            </w:r>
            <w:r w:rsidR="00493EAA">
              <w:t>c</w:t>
            </w:r>
            <w:r w:rsidR="00C374E2">
              <w:t>o</w:t>
            </w:r>
            <w:r w:rsidR="00493EAA">
              <w:t>rds both in the custody of the Archives and the custody of another organisation.</w:t>
            </w:r>
          </w:p>
        </w:tc>
      </w:tr>
      <w:tr w:rsidR="003A0B10" w:rsidTr="003F5078">
        <w:tc>
          <w:tcPr>
            <w:tcW w:w="2376" w:type="dxa"/>
          </w:tcPr>
          <w:p w:rsidR="003A0B10" w:rsidRDefault="003A0B10" w:rsidP="003F5078">
            <w:pPr>
              <w:pStyle w:val="Text"/>
            </w:pPr>
            <w:r>
              <w:t>Custody</w:t>
            </w:r>
          </w:p>
        </w:tc>
        <w:tc>
          <w:tcPr>
            <w:tcW w:w="6338" w:type="dxa"/>
          </w:tcPr>
          <w:p w:rsidR="003A0B10" w:rsidRDefault="003A0B10" w:rsidP="00C374E2">
            <w:pPr>
              <w:pStyle w:val="Text"/>
            </w:pPr>
            <w:r>
              <w:t>The responsibility for the care o</w:t>
            </w:r>
            <w:r w:rsidR="00C374E2">
              <w:t>f</w:t>
            </w:r>
            <w:r>
              <w:t xml:space="preserve"> records and archives based on their physical possession. Custody does not necessarily include legal ownership.</w:t>
            </w:r>
          </w:p>
        </w:tc>
      </w:tr>
      <w:tr w:rsidR="003A0B10" w:rsidTr="003F5078">
        <w:tc>
          <w:tcPr>
            <w:tcW w:w="2376" w:type="dxa"/>
          </w:tcPr>
          <w:p w:rsidR="003A0B10" w:rsidRDefault="003A0B10" w:rsidP="003F5078">
            <w:pPr>
              <w:pStyle w:val="Text"/>
            </w:pPr>
            <w:r>
              <w:t>Distributed custody arrangement</w:t>
            </w:r>
          </w:p>
        </w:tc>
        <w:tc>
          <w:tcPr>
            <w:tcW w:w="6338" w:type="dxa"/>
          </w:tcPr>
          <w:p w:rsidR="003A0B10" w:rsidRDefault="003A0B10" w:rsidP="00B94E1A">
            <w:pPr>
              <w:pStyle w:val="Text"/>
            </w:pPr>
            <w:r w:rsidRPr="00C24862">
              <w:rPr>
                <w:szCs w:val="22"/>
              </w:rPr>
              <w:t>Distributed custody is defined as a</w:t>
            </w:r>
            <w:r w:rsidRPr="00E9448E">
              <w:rPr>
                <w:szCs w:val="22"/>
              </w:rPr>
              <w:t>n arrangement whereby records are</w:t>
            </w:r>
            <w:r>
              <w:rPr>
                <w:szCs w:val="22"/>
              </w:rPr>
              <w:t xml:space="preserve"> managed by another party in facilities not under the control of the </w:t>
            </w:r>
            <w:r w:rsidRPr="00E9448E">
              <w:rPr>
                <w:szCs w:val="22"/>
              </w:rPr>
              <w:t>Archives beyond the period where they would normally be transferred to the Archives. It covers situations where records are retained by the agency, as well as those where the records are transferred from the Archives</w:t>
            </w:r>
            <w:r w:rsidR="004D747B">
              <w:rPr>
                <w:szCs w:val="22"/>
              </w:rPr>
              <w:t>’</w:t>
            </w:r>
            <w:r w:rsidRPr="00E9448E">
              <w:rPr>
                <w:szCs w:val="22"/>
              </w:rPr>
              <w:t xml:space="preserve"> custody to the custody of another party. The </w:t>
            </w:r>
            <w:r w:rsidR="00CF6056">
              <w:rPr>
                <w:szCs w:val="22"/>
              </w:rPr>
              <w:t xml:space="preserve">custodial </w:t>
            </w:r>
            <w:r w:rsidR="00B94E1A">
              <w:rPr>
                <w:szCs w:val="22"/>
              </w:rPr>
              <w:t>organisation</w:t>
            </w:r>
            <w:r w:rsidRPr="00E9448E">
              <w:rPr>
                <w:szCs w:val="22"/>
              </w:rPr>
              <w:t xml:space="preserve"> may be the c</w:t>
            </w:r>
            <w:r>
              <w:rPr>
                <w:szCs w:val="22"/>
              </w:rPr>
              <w:t xml:space="preserve">reating </w:t>
            </w:r>
            <w:r w:rsidRPr="00E9448E">
              <w:rPr>
                <w:szCs w:val="22"/>
              </w:rPr>
              <w:t xml:space="preserve">agency, or </w:t>
            </w:r>
            <w:r w:rsidR="000B4E93">
              <w:rPr>
                <w:szCs w:val="22"/>
              </w:rPr>
              <w:t>other organisation</w:t>
            </w:r>
            <w:r>
              <w:rPr>
                <w:szCs w:val="22"/>
              </w:rPr>
              <w:t xml:space="preserve"> </w:t>
            </w:r>
            <w:r w:rsidRPr="00E9448E">
              <w:rPr>
                <w:szCs w:val="22"/>
              </w:rPr>
              <w:t xml:space="preserve">such as a </w:t>
            </w:r>
            <w:r>
              <w:rPr>
                <w:szCs w:val="22"/>
              </w:rPr>
              <w:t>community or private organisation</w:t>
            </w:r>
            <w:r w:rsidRPr="00E9448E">
              <w:rPr>
                <w:szCs w:val="22"/>
              </w:rPr>
              <w:t>.</w:t>
            </w:r>
          </w:p>
        </w:tc>
      </w:tr>
      <w:tr w:rsidR="003A0B10" w:rsidTr="003F5078">
        <w:tc>
          <w:tcPr>
            <w:tcW w:w="2376" w:type="dxa"/>
          </w:tcPr>
          <w:p w:rsidR="003A0B10" w:rsidRDefault="003A0B10" w:rsidP="003F5078">
            <w:pPr>
              <w:pStyle w:val="Text"/>
            </w:pPr>
            <w:r>
              <w:t>Archival resources</w:t>
            </w:r>
          </w:p>
        </w:tc>
        <w:tc>
          <w:tcPr>
            <w:tcW w:w="6338" w:type="dxa"/>
          </w:tcPr>
          <w:p w:rsidR="005408B1" w:rsidRDefault="005408B1" w:rsidP="005408B1">
            <w:pPr>
              <w:pStyle w:val="Text"/>
            </w:pPr>
            <w:r>
              <w:t>‘Archival resources of the Commonwealth’ includes Commonwealth records of continuing value as well as other records of national significance or public interest which have been identified as part of the archival resources of the Commonwealth, for example personal records of people who have held prominent positions in the Commonwealth.</w:t>
            </w:r>
          </w:p>
        </w:tc>
      </w:tr>
      <w:tr w:rsidR="003A0B10" w:rsidTr="003F5078">
        <w:tc>
          <w:tcPr>
            <w:tcW w:w="2376" w:type="dxa"/>
          </w:tcPr>
          <w:p w:rsidR="003A0B10" w:rsidRDefault="003A0B10" w:rsidP="003F5078">
            <w:pPr>
              <w:pStyle w:val="Text"/>
            </w:pPr>
            <w:r>
              <w:t>Records of continuing value</w:t>
            </w:r>
          </w:p>
        </w:tc>
        <w:tc>
          <w:tcPr>
            <w:tcW w:w="6338" w:type="dxa"/>
          </w:tcPr>
          <w:p w:rsidR="003A0B10" w:rsidRDefault="005408B1" w:rsidP="003F5078">
            <w:pPr>
              <w:pStyle w:val="Text"/>
            </w:pPr>
            <w:r>
              <w:t xml:space="preserve">Those Commonwealth records which have been identified as archival resources under section 3C of the Act. These records may also be referred to as records of continuing, ongoing or permanent value, or as ‘RNA’ (retain as national archives). </w:t>
            </w:r>
            <w:r w:rsidR="003A0B10">
              <w:t xml:space="preserve"> </w:t>
            </w:r>
          </w:p>
        </w:tc>
      </w:tr>
      <w:tr w:rsidR="005408B1" w:rsidTr="003F5078">
        <w:tc>
          <w:tcPr>
            <w:tcW w:w="2376" w:type="dxa"/>
          </w:tcPr>
          <w:p w:rsidR="005408B1" w:rsidRDefault="005408B1" w:rsidP="003F5078">
            <w:pPr>
              <w:pStyle w:val="Text"/>
            </w:pPr>
            <w:r>
              <w:t>Controlling agency</w:t>
            </w:r>
          </w:p>
        </w:tc>
        <w:tc>
          <w:tcPr>
            <w:tcW w:w="6338" w:type="dxa"/>
          </w:tcPr>
          <w:p w:rsidR="005408B1" w:rsidDel="005408B1" w:rsidRDefault="005408B1" w:rsidP="00266EBE">
            <w:pPr>
              <w:pStyle w:val="Text"/>
            </w:pPr>
            <w:r>
              <w:t xml:space="preserve">The agency responsible for Commonwealth records, based on function. The controlling agency may be the same as the recording (or creating) agency, or may have inherited responsibility for the records through machinery of government changes. </w:t>
            </w:r>
          </w:p>
        </w:tc>
      </w:tr>
      <w:tr w:rsidR="003A0B10" w:rsidTr="003F5078">
        <w:tc>
          <w:tcPr>
            <w:tcW w:w="2376" w:type="dxa"/>
          </w:tcPr>
          <w:p w:rsidR="003A0B10" w:rsidRDefault="00CF6056" w:rsidP="003F5078">
            <w:pPr>
              <w:pStyle w:val="Text"/>
            </w:pPr>
            <w:r>
              <w:t xml:space="preserve">Custodial </w:t>
            </w:r>
            <w:r w:rsidR="00B94E1A">
              <w:t>organisation</w:t>
            </w:r>
          </w:p>
        </w:tc>
        <w:tc>
          <w:tcPr>
            <w:tcW w:w="6338" w:type="dxa"/>
          </w:tcPr>
          <w:p w:rsidR="003A0B10" w:rsidRDefault="005408B1" w:rsidP="00B94E1A">
            <w:pPr>
              <w:pStyle w:val="Text"/>
            </w:pPr>
            <w:r>
              <w:t xml:space="preserve">The </w:t>
            </w:r>
            <w:r w:rsidR="00B94E1A">
              <w:t>organisation</w:t>
            </w:r>
            <w:r w:rsidR="00266EBE">
              <w:t>,</w:t>
            </w:r>
            <w:r w:rsidR="003A0B10">
              <w:t xml:space="preserve"> </w:t>
            </w:r>
            <w:r w:rsidR="00A574EB">
              <w:t xml:space="preserve">other than </w:t>
            </w:r>
            <w:r w:rsidR="003A0B10">
              <w:t>the archival institution</w:t>
            </w:r>
            <w:r w:rsidR="00266EBE">
              <w:t>,</w:t>
            </w:r>
            <w:r w:rsidR="003A0B10">
              <w:t xml:space="preserve"> responsible for the care of records of continuing value managed under a distributed custody arrangement. </w:t>
            </w:r>
            <w:r w:rsidR="000B4E93">
              <w:t>The custodial organisation may be the controlling agency or may be a third party such as a community, non-government or private organisation.</w:t>
            </w:r>
          </w:p>
        </w:tc>
      </w:tr>
      <w:tr w:rsidR="003A0B10" w:rsidTr="003F5078">
        <w:tc>
          <w:tcPr>
            <w:tcW w:w="2376" w:type="dxa"/>
          </w:tcPr>
          <w:p w:rsidR="003A0B10" w:rsidRDefault="003A0B10" w:rsidP="003F5078">
            <w:pPr>
              <w:pStyle w:val="Text"/>
            </w:pPr>
            <w:r>
              <w:t xml:space="preserve">Other organisations </w:t>
            </w:r>
          </w:p>
        </w:tc>
        <w:tc>
          <w:tcPr>
            <w:tcW w:w="6338" w:type="dxa"/>
          </w:tcPr>
          <w:p w:rsidR="003A0B10" w:rsidRDefault="00B7213D" w:rsidP="00A574EB">
            <w:pPr>
              <w:pStyle w:val="Text"/>
            </w:pPr>
            <w:r>
              <w:t>R</w:t>
            </w:r>
            <w:r w:rsidR="003A0B10">
              <w:t>efers to any third party such as a community</w:t>
            </w:r>
            <w:r w:rsidR="004209CD">
              <w:t>, non-government</w:t>
            </w:r>
            <w:r w:rsidR="003A0B10">
              <w:t xml:space="preserve"> or private organisation</w:t>
            </w:r>
            <w:r w:rsidR="00A574EB">
              <w:t>.</w:t>
            </w:r>
          </w:p>
        </w:tc>
      </w:tr>
    </w:tbl>
    <w:p w:rsidR="00E62104" w:rsidRDefault="00E62104" w:rsidP="00590936"/>
    <w:sectPr w:rsidR="00E62104" w:rsidSect="009E114F">
      <w:footerReference w:type="default" r:id="rId11"/>
      <w:pgSz w:w="11900" w:h="16840" w:code="9"/>
      <w:pgMar w:top="2098" w:right="1701" w:bottom="1361" w:left="1701" w:header="113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52" w:rsidRDefault="00590252">
      <w:r>
        <w:separator/>
      </w:r>
    </w:p>
  </w:endnote>
  <w:endnote w:type="continuationSeparator" w:id="0">
    <w:p w:rsidR="00590252" w:rsidRDefault="0059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89" w:rsidRDefault="00711589">
    <w:pPr>
      <w:pStyle w:val="Footer"/>
      <w:tabs>
        <w:tab w:val="clear" w:pos="7088"/>
      </w:tabs>
      <w:ind w:right="-8"/>
      <w:jc w:val="center"/>
    </w:pPr>
    <w:r>
      <w:rPr>
        <w:rStyle w:val="PageNumber"/>
      </w:rPr>
      <w:fldChar w:fldCharType="begin"/>
    </w:r>
    <w:r>
      <w:rPr>
        <w:rStyle w:val="PageNumber"/>
      </w:rPr>
      <w:instrText xml:space="preserve"> PAGE </w:instrText>
    </w:r>
    <w:r>
      <w:rPr>
        <w:rStyle w:val="PageNumber"/>
      </w:rPr>
      <w:fldChar w:fldCharType="separate"/>
    </w:r>
    <w:r w:rsidR="008801CC">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89" w:rsidRDefault="00711589">
    <w:pPr>
      <w:pStyle w:val="Footer"/>
      <w:tabs>
        <w:tab w:val="clear" w:pos="7088"/>
      </w:tabs>
      <w:ind w:right="-8"/>
      <w:jc w:val="center"/>
    </w:pPr>
    <w:r>
      <w:rPr>
        <w:rStyle w:val="PageNumber"/>
      </w:rPr>
      <w:fldChar w:fldCharType="begin"/>
    </w:r>
    <w:r>
      <w:rPr>
        <w:rStyle w:val="PageNumber"/>
      </w:rPr>
      <w:instrText xml:space="preserve"> PAGE </w:instrText>
    </w:r>
    <w:r>
      <w:rPr>
        <w:rStyle w:val="PageNumber"/>
      </w:rPr>
      <w:fldChar w:fldCharType="separate"/>
    </w:r>
    <w:r w:rsidR="008801C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52" w:rsidRDefault="00590252">
      <w:pPr>
        <w:pStyle w:val="FootnoteText"/>
        <w:spacing w:before="100"/>
        <w:ind w:left="0" w:firstLine="0"/>
      </w:pPr>
      <w:r>
        <w:separator/>
      </w:r>
    </w:p>
  </w:footnote>
  <w:footnote w:type="continuationSeparator" w:id="0">
    <w:p w:rsidR="00590252" w:rsidRDefault="00590252">
      <w:r>
        <w:continuationSeparator/>
      </w:r>
    </w:p>
  </w:footnote>
  <w:footnote w:id="1">
    <w:p w:rsidR="00711589" w:rsidRDefault="00711589" w:rsidP="00F24A10">
      <w:pPr>
        <w:pStyle w:val="FootnoteText"/>
      </w:pPr>
      <w:r>
        <w:rPr>
          <w:rStyle w:val="FootnoteReference"/>
        </w:rPr>
        <w:footnoteRef/>
      </w:r>
      <w:r>
        <w:t xml:space="preserve">  CAARA Policy 15 ‘</w:t>
      </w:r>
      <w:r>
        <w:rPr>
          <w:lang w:val="en-US"/>
        </w:rPr>
        <w:t>Models for the distributed custody and management of government archival records’</w:t>
      </w:r>
      <w:r>
        <w:t xml:space="preserve">,  available at </w:t>
      </w:r>
      <w:r w:rsidRPr="00C770C1">
        <w:t>http://www.caara.org.au/index.php/policy-statements/models-for-the-distributed-custody-and-management-of-government-archival-records/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89" w:rsidRDefault="00711589" w:rsidP="009A4B6B">
    <w:pPr>
      <w:pStyle w:val="Header"/>
      <w:pBdr>
        <w:bottom w:val="single" w:sz="4" w:space="1" w:color="auto"/>
      </w:pBdr>
      <w:tabs>
        <w:tab w:val="clear" w:pos="7088"/>
        <w:tab w:val="right" w:pos="8505"/>
      </w:tabs>
    </w:pPr>
    <w:r>
      <w:t>National Archives of Australia</w:t>
    </w:r>
    <w:r>
      <w:tab/>
      <w:t>Distributed Custody Policy –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F32"/>
    <w:multiLevelType w:val="multilevel"/>
    <w:tmpl w:val="D4F09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C25F0A"/>
    <w:multiLevelType w:val="hybridMultilevel"/>
    <w:tmpl w:val="AF32B9F6"/>
    <w:lvl w:ilvl="0" w:tplc="0C090003">
      <w:start w:val="1"/>
      <w:numFmt w:val="bullet"/>
      <w:lvlText w:val="o"/>
      <w:lvlJc w:val="left"/>
      <w:pPr>
        <w:tabs>
          <w:tab w:val="num" w:pos="1134"/>
        </w:tabs>
        <w:ind w:left="1134" w:hanging="567"/>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C2504"/>
    <w:multiLevelType w:val="hybridMultilevel"/>
    <w:tmpl w:val="D26ACACE"/>
    <w:lvl w:ilvl="0" w:tplc="F560E962">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A3492E"/>
    <w:multiLevelType w:val="hybridMultilevel"/>
    <w:tmpl w:val="4070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963C59"/>
    <w:multiLevelType w:val="hybridMultilevel"/>
    <w:tmpl w:val="B42ECF60"/>
    <w:lvl w:ilvl="0" w:tplc="F560E962">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ind w:left="1701" w:hanging="567"/>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0A7271"/>
    <w:multiLevelType w:val="hybridMultilevel"/>
    <w:tmpl w:val="853CF0DE"/>
    <w:lvl w:ilvl="0" w:tplc="F560E962">
      <w:start w:val="1"/>
      <w:numFmt w:val="bullet"/>
      <w:lvlText w:val=""/>
      <w:lvlJc w:val="left"/>
      <w:pPr>
        <w:tabs>
          <w:tab w:val="num" w:pos="1134"/>
        </w:tabs>
        <w:ind w:left="1134" w:hanging="567"/>
      </w:pPr>
      <w:rPr>
        <w:rFonts w:ascii="Symbol" w:hAnsi="Symbol" w:hint="default"/>
      </w:rPr>
    </w:lvl>
    <w:lvl w:ilvl="1" w:tplc="AC7ED3C4">
      <w:start w:val="1"/>
      <w:numFmt w:val="bullet"/>
      <w:lvlText w:val="­"/>
      <w:lvlJc w:val="left"/>
      <w:pPr>
        <w:ind w:left="1701" w:hanging="56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5A17F2"/>
    <w:multiLevelType w:val="hybridMultilevel"/>
    <w:tmpl w:val="92DA3C76"/>
    <w:lvl w:ilvl="0" w:tplc="3C2CBB0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CB0AD7"/>
    <w:multiLevelType w:val="hybridMultilevel"/>
    <w:tmpl w:val="1C3CAD1C"/>
    <w:lvl w:ilvl="0" w:tplc="F560E962">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1"/>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93"/>
    <w:rsid w:val="000013C7"/>
    <w:rsid w:val="0000422A"/>
    <w:rsid w:val="000058B3"/>
    <w:rsid w:val="000142B0"/>
    <w:rsid w:val="00015612"/>
    <w:rsid w:val="00033C52"/>
    <w:rsid w:val="00034693"/>
    <w:rsid w:val="00047DB0"/>
    <w:rsid w:val="00051078"/>
    <w:rsid w:val="00051B66"/>
    <w:rsid w:val="000520BD"/>
    <w:rsid w:val="00075515"/>
    <w:rsid w:val="0007758C"/>
    <w:rsid w:val="0009488C"/>
    <w:rsid w:val="000A0729"/>
    <w:rsid w:val="000B4E93"/>
    <w:rsid w:val="000B5ABA"/>
    <w:rsid w:val="000C0A47"/>
    <w:rsid w:val="000C66CB"/>
    <w:rsid w:val="000D1D62"/>
    <w:rsid w:val="000D63EF"/>
    <w:rsid w:val="000E0BAD"/>
    <w:rsid w:val="000E3B65"/>
    <w:rsid w:val="001057D9"/>
    <w:rsid w:val="001074D4"/>
    <w:rsid w:val="00113654"/>
    <w:rsid w:val="001201FA"/>
    <w:rsid w:val="00126721"/>
    <w:rsid w:val="00127420"/>
    <w:rsid w:val="00127EF3"/>
    <w:rsid w:val="00131328"/>
    <w:rsid w:val="001376C9"/>
    <w:rsid w:val="001440D1"/>
    <w:rsid w:val="00147E33"/>
    <w:rsid w:val="00163EBC"/>
    <w:rsid w:val="0016476C"/>
    <w:rsid w:val="00165403"/>
    <w:rsid w:val="00172B12"/>
    <w:rsid w:val="001906F4"/>
    <w:rsid w:val="00193739"/>
    <w:rsid w:val="00197D3E"/>
    <w:rsid w:val="001A2290"/>
    <w:rsid w:val="001A2D5A"/>
    <w:rsid w:val="001B19F3"/>
    <w:rsid w:val="001C0807"/>
    <w:rsid w:val="001C5901"/>
    <w:rsid w:val="001E3F92"/>
    <w:rsid w:val="001E485E"/>
    <w:rsid w:val="001F32A5"/>
    <w:rsid w:val="001F6343"/>
    <w:rsid w:val="001F7979"/>
    <w:rsid w:val="0020122B"/>
    <w:rsid w:val="00201E44"/>
    <w:rsid w:val="00207A21"/>
    <w:rsid w:val="00217E46"/>
    <w:rsid w:val="002250FE"/>
    <w:rsid w:val="00227B45"/>
    <w:rsid w:val="002356D3"/>
    <w:rsid w:val="002379E3"/>
    <w:rsid w:val="0025026F"/>
    <w:rsid w:val="002507C0"/>
    <w:rsid w:val="00252A17"/>
    <w:rsid w:val="00264556"/>
    <w:rsid w:val="00266A48"/>
    <w:rsid w:val="00266EBE"/>
    <w:rsid w:val="00272D17"/>
    <w:rsid w:val="00276561"/>
    <w:rsid w:val="00277CE0"/>
    <w:rsid w:val="002838D8"/>
    <w:rsid w:val="00287181"/>
    <w:rsid w:val="00291BAC"/>
    <w:rsid w:val="00295DFD"/>
    <w:rsid w:val="002A0D5B"/>
    <w:rsid w:val="002A2520"/>
    <w:rsid w:val="002A47DA"/>
    <w:rsid w:val="002A7483"/>
    <w:rsid w:val="002A7B5D"/>
    <w:rsid w:val="002C13A4"/>
    <w:rsid w:val="002D2A42"/>
    <w:rsid w:val="002D4C20"/>
    <w:rsid w:val="002E45DF"/>
    <w:rsid w:val="002E7A60"/>
    <w:rsid w:val="002F44A9"/>
    <w:rsid w:val="002F5D3F"/>
    <w:rsid w:val="002F72ED"/>
    <w:rsid w:val="0030480B"/>
    <w:rsid w:val="003112B1"/>
    <w:rsid w:val="0032251C"/>
    <w:rsid w:val="003277B6"/>
    <w:rsid w:val="003300DC"/>
    <w:rsid w:val="00332519"/>
    <w:rsid w:val="003414C9"/>
    <w:rsid w:val="00356C4B"/>
    <w:rsid w:val="00371686"/>
    <w:rsid w:val="00374085"/>
    <w:rsid w:val="003763FB"/>
    <w:rsid w:val="00380487"/>
    <w:rsid w:val="003842AC"/>
    <w:rsid w:val="00386418"/>
    <w:rsid w:val="0039351E"/>
    <w:rsid w:val="003A0B10"/>
    <w:rsid w:val="003B26C3"/>
    <w:rsid w:val="003C6715"/>
    <w:rsid w:val="003D1292"/>
    <w:rsid w:val="003D76C0"/>
    <w:rsid w:val="003F5078"/>
    <w:rsid w:val="004209CD"/>
    <w:rsid w:val="004211EA"/>
    <w:rsid w:val="0042234F"/>
    <w:rsid w:val="00422F06"/>
    <w:rsid w:val="004348A9"/>
    <w:rsid w:val="004469E6"/>
    <w:rsid w:val="00452AFD"/>
    <w:rsid w:val="0045372C"/>
    <w:rsid w:val="00461FE4"/>
    <w:rsid w:val="004778C2"/>
    <w:rsid w:val="004841DF"/>
    <w:rsid w:val="004901E5"/>
    <w:rsid w:val="00493EAA"/>
    <w:rsid w:val="00494F04"/>
    <w:rsid w:val="00497860"/>
    <w:rsid w:val="004A0B44"/>
    <w:rsid w:val="004B19AF"/>
    <w:rsid w:val="004B536C"/>
    <w:rsid w:val="004C38EE"/>
    <w:rsid w:val="004D3996"/>
    <w:rsid w:val="004D747B"/>
    <w:rsid w:val="004E72A4"/>
    <w:rsid w:val="004F2225"/>
    <w:rsid w:val="00512BD3"/>
    <w:rsid w:val="00526B33"/>
    <w:rsid w:val="005271EA"/>
    <w:rsid w:val="005403EF"/>
    <w:rsid w:val="005408B1"/>
    <w:rsid w:val="00546B54"/>
    <w:rsid w:val="00555F04"/>
    <w:rsid w:val="00556E55"/>
    <w:rsid w:val="005603A5"/>
    <w:rsid w:val="00560E28"/>
    <w:rsid w:val="00561ACC"/>
    <w:rsid w:val="00563006"/>
    <w:rsid w:val="00577951"/>
    <w:rsid w:val="00590252"/>
    <w:rsid w:val="00590936"/>
    <w:rsid w:val="005B78A4"/>
    <w:rsid w:val="005C70CF"/>
    <w:rsid w:val="005E3D8F"/>
    <w:rsid w:val="005E5EA8"/>
    <w:rsid w:val="005F29D6"/>
    <w:rsid w:val="005F5C52"/>
    <w:rsid w:val="005F62AD"/>
    <w:rsid w:val="00601B70"/>
    <w:rsid w:val="00604D23"/>
    <w:rsid w:val="00605DC8"/>
    <w:rsid w:val="0061239E"/>
    <w:rsid w:val="006130A4"/>
    <w:rsid w:val="0061342D"/>
    <w:rsid w:val="00624B19"/>
    <w:rsid w:val="0063231A"/>
    <w:rsid w:val="00633437"/>
    <w:rsid w:val="0063783F"/>
    <w:rsid w:val="006477CD"/>
    <w:rsid w:val="00654124"/>
    <w:rsid w:val="0065469C"/>
    <w:rsid w:val="00661E56"/>
    <w:rsid w:val="00663C4E"/>
    <w:rsid w:val="00677E7D"/>
    <w:rsid w:val="006926B9"/>
    <w:rsid w:val="0069353B"/>
    <w:rsid w:val="00694DB4"/>
    <w:rsid w:val="006952D2"/>
    <w:rsid w:val="00695797"/>
    <w:rsid w:val="006969F2"/>
    <w:rsid w:val="006A3EBD"/>
    <w:rsid w:val="006A3F97"/>
    <w:rsid w:val="006B01FB"/>
    <w:rsid w:val="006C1EA7"/>
    <w:rsid w:val="006C288B"/>
    <w:rsid w:val="006E50D1"/>
    <w:rsid w:val="006E5FEC"/>
    <w:rsid w:val="00701CBF"/>
    <w:rsid w:val="00702549"/>
    <w:rsid w:val="00704223"/>
    <w:rsid w:val="00707CA4"/>
    <w:rsid w:val="00711589"/>
    <w:rsid w:val="00712553"/>
    <w:rsid w:val="00714028"/>
    <w:rsid w:val="00722764"/>
    <w:rsid w:val="00723C50"/>
    <w:rsid w:val="00725C64"/>
    <w:rsid w:val="00726D8E"/>
    <w:rsid w:val="007447FC"/>
    <w:rsid w:val="00756230"/>
    <w:rsid w:val="0076316D"/>
    <w:rsid w:val="00772A5F"/>
    <w:rsid w:val="00791753"/>
    <w:rsid w:val="00791C6B"/>
    <w:rsid w:val="007977E0"/>
    <w:rsid w:val="007B31C0"/>
    <w:rsid w:val="007F4C44"/>
    <w:rsid w:val="00801335"/>
    <w:rsid w:val="00806A86"/>
    <w:rsid w:val="00821449"/>
    <w:rsid w:val="0083192F"/>
    <w:rsid w:val="00835064"/>
    <w:rsid w:val="0083709F"/>
    <w:rsid w:val="0083725C"/>
    <w:rsid w:val="008412F7"/>
    <w:rsid w:val="0086700C"/>
    <w:rsid w:val="0087421E"/>
    <w:rsid w:val="008801CC"/>
    <w:rsid w:val="00883680"/>
    <w:rsid w:val="00884B33"/>
    <w:rsid w:val="008873CD"/>
    <w:rsid w:val="008A2ACD"/>
    <w:rsid w:val="008A5691"/>
    <w:rsid w:val="008B3CC9"/>
    <w:rsid w:val="008C0E51"/>
    <w:rsid w:val="008C0F56"/>
    <w:rsid w:val="008C3542"/>
    <w:rsid w:val="008C504E"/>
    <w:rsid w:val="008D19C8"/>
    <w:rsid w:val="008D5537"/>
    <w:rsid w:val="008E3343"/>
    <w:rsid w:val="00915720"/>
    <w:rsid w:val="00927440"/>
    <w:rsid w:val="00932B09"/>
    <w:rsid w:val="00936DA8"/>
    <w:rsid w:val="00942806"/>
    <w:rsid w:val="009437DC"/>
    <w:rsid w:val="00945710"/>
    <w:rsid w:val="009518D2"/>
    <w:rsid w:val="0095573B"/>
    <w:rsid w:val="00963BE5"/>
    <w:rsid w:val="00971984"/>
    <w:rsid w:val="0097535F"/>
    <w:rsid w:val="0098654E"/>
    <w:rsid w:val="009A4B6B"/>
    <w:rsid w:val="009A5035"/>
    <w:rsid w:val="009A5580"/>
    <w:rsid w:val="009C2B44"/>
    <w:rsid w:val="009C5096"/>
    <w:rsid w:val="009D22CA"/>
    <w:rsid w:val="009E114F"/>
    <w:rsid w:val="009E6D84"/>
    <w:rsid w:val="009F33A0"/>
    <w:rsid w:val="00A03BF1"/>
    <w:rsid w:val="00A04039"/>
    <w:rsid w:val="00A10E10"/>
    <w:rsid w:val="00A322CF"/>
    <w:rsid w:val="00A41527"/>
    <w:rsid w:val="00A41656"/>
    <w:rsid w:val="00A418E8"/>
    <w:rsid w:val="00A4405B"/>
    <w:rsid w:val="00A51A08"/>
    <w:rsid w:val="00A574EB"/>
    <w:rsid w:val="00A61E07"/>
    <w:rsid w:val="00A655BC"/>
    <w:rsid w:val="00A709A2"/>
    <w:rsid w:val="00A717A4"/>
    <w:rsid w:val="00A84817"/>
    <w:rsid w:val="00A912EB"/>
    <w:rsid w:val="00A97E5B"/>
    <w:rsid w:val="00AA3E45"/>
    <w:rsid w:val="00AB14F2"/>
    <w:rsid w:val="00AB1C98"/>
    <w:rsid w:val="00AB2632"/>
    <w:rsid w:val="00AC0343"/>
    <w:rsid w:val="00AC1AEC"/>
    <w:rsid w:val="00AD6402"/>
    <w:rsid w:val="00AE77DC"/>
    <w:rsid w:val="00AF559F"/>
    <w:rsid w:val="00AF5DBD"/>
    <w:rsid w:val="00AF741E"/>
    <w:rsid w:val="00B2578A"/>
    <w:rsid w:val="00B3046B"/>
    <w:rsid w:val="00B35163"/>
    <w:rsid w:val="00B45C7F"/>
    <w:rsid w:val="00B665D3"/>
    <w:rsid w:val="00B7213D"/>
    <w:rsid w:val="00B83811"/>
    <w:rsid w:val="00B912D1"/>
    <w:rsid w:val="00B94E1A"/>
    <w:rsid w:val="00BA1AA3"/>
    <w:rsid w:val="00BA1F57"/>
    <w:rsid w:val="00BA5902"/>
    <w:rsid w:val="00BB284A"/>
    <w:rsid w:val="00BE1292"/>
    <w:rsid w:val="00BE3093"/>
    <w:rsid w:val="00BE44A1"/>
    <w:rsid w:val="00BF7216"/>
    <w:rsid w:val="00C046AB"/>
    <w:rsid w:val="00C13E74"/>
    <w:rsid w:val="00C13FF9"/>
    <w:rsid w:val="00C17873"/>
    <w:rsid w:val="00C21F3C"/>
    <w:rsid w:val="00C2405C"/>
    <w:rsid w:val="00C24862"/>
    <w:rsid w:val="00C30219"/>
    <w:rsid w:val="00C30358"/>
    <w:rsid w:val="00C33D06"/>
    <w:rsid w:val="00C34920"/>
    <w:rsid w:val="00C374E2"/>
    <w:rsid w:val="00C47829"/>
    <w:rsid w:val="00C5023B"/>
    <w:rsid w:val="00C5086D"/>
    <w:rsid w:val="00C628E5"/>
    <w:rsid w:val="00C66890"/>
    <w:rsid w:val="00C671F9"/>
    <w:rsid w:val="00C770C1"/>
    <w:rsid w:val="00C8558A"/>
    <w:rsid w:val="00C8761F"/>
    <w:rsid w:val="00C929E7"/>
    <w:rsid w:val="00CA5CD7"/>
    <w:rsid w:val="00CC25D2"/>
    <w:rsid w:val="00CC5165"/>
    <w:rsid w:val="00CD2827"/>
    <w:rsid w:val="00CD4D30"/>
    <w:rsid w:val="00CE1FB9"/>
    <w:rsid w:val="00CE3BA5"/>
    <w:rsid w:val="00CE4709"/>
    <w:rsid w:val="00CE54CF"/>
    <w:rsid w:val="00CE5DFA"/>
    <w:rsid w:val="00CF0EB4"/>
    <w:rsid w:val="00CF2A36"/>
    <w:rsid w:val="00CF6056"/>
    <w:rsid w:val="00D060F6"/>
    <w:rsid w:val="00D0681D"/>
    <w:rsid w:val="00D34F8A"/>
    <w:rsid w:val="00D377AE"/>
    <w:rsid w:val="00D37AC7"/>
    <w:rsid w:val="00D62637"/>
    <w:rsid w:val="00D6316F"/>
    <w:rsid w:val="00D8029D"/>
    <w:rsid w:val="00D81783"/>
    <w:rsid w:val="00D822FE"/>
    <w:rsid w:val="00D83A92"/>
    <w:rsid w:val="00D92B0C"/>
    <w:rsid w:val="00DA2335"/>
    <w:rsid w:val="00DA316B"/>
    <w:rsid w:val="00DC0C68"/>
    <w:rsid w:val="00DD0279"/>
    <w:rsid w:val="00DD3803"/>
    <w:rsid w:val="00DE7D1F"/>
    <w:rsid w:val="00E06475"/>
    <w:rsid w:val="00E071A0"/>
    <w:rsid w:val="00E076DF"/>
    <w:rsid w:val="00E156D8"/>
    <w:rsid w:val="00E17518"/>
    <w:rsid w:val="00E2497C"/>
    <w:rsid w:val="00E35CE6"/>
    <w:rsid w:val="00E46713"/>
    <w:rsid w:val="00E540D1"/>
    <w:rsid w:val="00E60C2F"/>
    <w:rsid w:val="00E62104"/>
    <w:rsid w:val="00E73F9E"/>
    <w:rsid w:val="00E80915"/>
    <w:rsid w:val="00E9448E"/>
    <w:rsid w:val="00EB0F53"/>
    <w:rsid w:val="00EB4180"/>
    <w:rsid w:val="00EB5792"/>
    <w:rsid w:val="00EC3557"/>
    <w:rsid w:val="00EF26C4"/>
    <w:rsid w:val="00F00CDA"/>
    <w:rsid w:val="00F012BD"/>
    <w:rsid w:val="00F02CE2"/>
    <w:rsid w:val="00F16665"/>
    <w:rsid w:val="00F24A10"/>
    <w:rsid w:val="00F3051D"/>
    <w:rsid w:val="00F3259B"/>
    <w:rsid w:val="00F42638"/>
    <w:rsid w:val="00F44162"/>
    <w:rsid w:val="00F6153E"/>
    <w:rsid w:val="00F71859"/>
    <w:rsid w:val="00F820DB"/>
    <w:rsid w:val="00F85865"/>
    <w:rsid w:val="00F90FE4"/>
    <w:rsid w:val="00F96A4F"/>
    <w:rsid w:val="00FA6DDD"/>
    <w:rsid w:val="00FB187D"/>
    <w:rsid w:val="00FC6D89"/>
    <w:rsid w:val="00FD7447"/>
    <w:rsid w:val="00FD7BE9"/>
    <w:rsid w:val="00FE0EA9"/>
    <w:rsid w:val="00FE46BE"/>
    <w:rsid w:val="00FF5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98AAAE-49C2-40E7-809A-EE694D62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lang w:eastAsia="en-US"/>
    </w:rPr>
  </w:style>
  <w:style w:type="paragraph" w:styleId="Heading1">
    <w:name w:val="heading 1"/>
    <w:basedOn w:val="Normal"/>
    <w:next w:val="Text"/>
    <w:link w:val="Heading1Char"/>
    <w:uiPriority w:val="9"/>
    <w:qFormat/>
    <w:pPr>
      <w:keepNext/>
      <w:spacing w:after="160" w:line="240" w:lineRule="atLeast"/>
      <w:ind w:left="680" w:hanging="680"/>
      <w:outlineLvl w:val="0"/>
    </w:pPr>
    <w:rPr>
      <w:rFonts w:ascii="Arial Black" w:hAnsi="Arial Black"/>
      <w:caps/>
    </w:rPr>
  </w:style>
  <w:style w:type="paragraph" w:styleId="Heading2">
    <w:name w:val="heading 2"/>
    <w:basedOn w:val="Heading1"/>
    <w:next w:val="Text"/>
    <w:qFormat/>
    <w:pPr>
      <w:spacing w:before="100" w:after="120"/>
      <w:outlineLvl w:val="1"/>
    </w:pPr>
    <w:rPr>
      <w:caps w:val="0"/>
      <w:sz w:val="20"/>
    </w:rPr>
  </w:style>
  <w:style w:type="paragraph" w:styleId="Heading3">
    <w:name w:val="heading 3"/>
    <w:basedOn w:val="Text"/>
    <w:next w:val="Text"/>
    <w:qFormat/>
    <w:pPr>
      <w:keepNext/>
      <w:spacing w:before="100" w:after="120"/>
      <w:outlineLvl w:val="2"/>
    </w:pPr>
    <w:rPr>
      <w:b/>
    </w:rPr>
  </w:style>
  <w:style w:type="paragraph" w:styleId="Heading4">
    <w:name w:val="heading 4"/>
    <w:basedOn w:val="Heading3"/>
    <w:next w:val="Text"/>
    <w:qFormat/>
    <w:pPr>
      <w:keepNext w:val="0"/>
      <w:spacing w:after="0"/>
      <w:outlineLvl w:val="3"/>
    </w:pPr>
    <w:rPr>
      <w:i/>
    </w:rPr>
  </w:style>
  <w:style w:type="paragraph" w:styleId="Heading5">
    <w:name w:val="heading 5"/>
    <w:basedOn w:val="Text"/>
    <w:next w:val="Text"/>
    <w:qFormat/>
    <w:pPr>
      <w:keepNext/>
      <w:spacing w:before="100" w:after="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after="140" w:line="240" w:lineRule="atLeast"/>
    </w:pPr>
  </w:style>
  <w:style w:type="paragraph" w:styleId="TOC2">
    <w:name w:val="toc 2"/>
    <w:basedOn w:val="TOC1"/>
    <w:uiPriority w:val="39"/>
    <w:qFormat/>
    <w:pPr>
      <w:spacing w:before="0" w:after="0"/>
      <w:ind w:left="220"/>
    </w:pPr>
    <w:rPr>
      <w:b w:val="0"/>
      <w:bCs w:val="0"/>
      <w:caps w:val="0"/>
      <w:smallCaps/>
    </w:rPr>
  </w:style>
  <w:style w:type="paragraph" w:styleId="TOC1">
    <w:name w:val="toc 1"/>
    <w:basedOn w:val="Text"/>
    <w:next w:val="TOC2"/>
    <w:uiPriority w:val="39"/>
    <w:qFormat/>
    <w:pPr>
      <w:spacing w:before="120" w:after="120" w:line="240" w:lineRule="auto"/>
    </w:pPr>
    <w:rPr>
      <w:rFonts w:ascii="Times New Roman" w:hAnsi="Times New Roman"/>
      <w:b/>
      <w:bCs/>
      <w:caps/>
      <w:sz w:val="20"/>
    </w:rPr>
  </w:style>
  <w:style w:type="paragraph" w:styleId="Footer">
    <w:name w:val="footer"/>
    <w:basedOn w:val="Normal"/>
    <w:pPr>
      <w:tabs>
        <w:tab w:val="left" w:pos="7088"/>
      </w:tabs>
    </w:pPr>
  </w:style>
  <w:style w:type="paragraph" w:styleId="Header">
    <w:name w:val="header"/>
    <w:basedOn w:val="Normal"/>
    <w:pPr>
      <w:tabs>
        <w:tab w:val="right" w:pos="7088"/>
      </w:tabs>
    </w:pPr>
    <w:rPr>
      <w:i/>
      <w:sz w:val="16"/>
    </w:rPr>
  </w:style>
  <w:style w:type="character" w:styleId="FootnoteReference">
    <w:name w:val="footnote reference"/>
    <w:semiHidden/>
    <w:rPr>
      <w:rFonts w:ascii="Book Antiqua" w:hAnsi="Book Antiqua"/>
      <w:position w:val="6"/>
      <w:sz w:val="14"/>
    </w:rPr>
  </w:style>
  <w:style w:type="paragraph" w:styleId="FootnoteText">
    <w:name w:val="footnote text"/>
    <w:basedOn w:val="Text"/>
    <w:semiHidden/>
    <w:pPr>
      <w:spacing w:after="0" w:line="160" w:lineRule="atLeast"/>
      <w:ind w:left="198" w:hanging="198"/>
    </w:pPr>
    <w:rPr>
      <w:sz w:val="14"/>
    </w:rPr>
  </w:style>
  <w:style w:type="paragraph" w:customStyle="1" w:styleId="Bullet">
    <w:name w:val="Bullet"/>
    <w:basedOn w:val="Text"/>
    <w:pPr>
      <w:numPr>
        <w:numId w:val="2"/>
      </w:numPr>
      <w:tabs>
        <w:tab w:val="left" w:pos="680"/>
        <w:tab w:val="left" w:pos="964"/>
      </w:tabs>
    </w:pPr>
  </w:style>
  <w:style w:type="paragraph" w:customStyle="1" w:styleId="Highlightheading">
    <w:name w:val="Highlight heading"/>
    <w:basedOn w:val="Heading3"/>
    <w:next w:val="Highlighttext"/>
    <w:pPr>
      <w:pBdr>
        <w:top w:val="single" w:sz="6" w:space="4" w:color="auto"/>
      </w:pBdr>
      <w:spacing w:before="80" w:after="60"/>
      <w:outlineLvl w:val="9"/>
    </w:pPr>
  </w:style>
  <w:style w:type="paragraph" w:customStyle="1" w:styleId="Highlighttext">
    <w:name w:val="Highlight text"/>
    <w:basedOn w:val="Text"/>
    <w:next w:val="Text"/>
    <w:pPr>
      <w:pBdr>
        <w:bottom w:val="single" w:sz="6" w:space="4" w:color="auto"/>
      </w:pBdr>
      <w:spacing w:after="240"/>
    </w:pPr>
    <w:rPr>
      <w:b/>
      <w:i/>
    </w:rPr>
  </w:style>
  <w:style w:type="paragraph" w:customStyle="1" w:styleId="Tablefootnote">
    <w:name w:val="Table footnote"/>
    <w:basedOn w:val="Text"/>
    <w:next w:val="Text"/>
    <w:pPr>
      <w:spacing w:before="40" w:line="180" w:lineRule="atLeast"/>
    </w:pPr>
    <w:rPr>
      <w:sz w:val="18"/>
    </w:rPr>
  </w:style>
  <w:style w:type="paragraph" w:styleId="Title">
    <w:name w:val="Title"/>
    <w:aliases w:val="NAA Title"/>
    <w:basedOn w:val="Normal"/>
    <w:next w:val="Bottomrule"/>
    <w:link w:val="TitleChar"/>
    <w:qFormat/>
    <w:pPr>
      <w:framePr w:hSpace="181" w:vSpace="181" w:wrap="auto" w:vAnchor="page" w:hAnchor="page" w:x="3615" w:y="5473"/>
      <w:spacing w:line="760" w:lineRule="atLeast"/>
    </w:pPr>
    <w:rPr>
      <w:sz w:val="56"/>
    </w:rPr>
  </w:style>
  <w:style w:type="paragraph" w:customStyle="1" w:styleId="Bottomrule">
    <w:name w:val="Bottom rule"/>
    <w:basedOn w:val="Normal"/>
    <w:next w:val="Subtitle"/>
    <w:pPr>
      <w:framePr w:hSpace="180" w:vSpace="180" w:wrap="auto" w:hAnchor="text" w:x="3658" w:y="9243"/>
      <w:pBdr>
        <w:top w:val="single" w:sz="6" w:space="0" w:color="auto"/>
      </w:pBdr>
      <w:spacing w:before="620"/>
      <w:ind w:right="7399"/>
    </w:pPr>
  </w:style>
  <w:style w:type="paragraph" w:styleId="Subtitle">
    <w:name w:val="Subtitle"/>
    <w:basedOn w:val="Normal"/>
    <w:next w:val="Author"/>
    <w:qFormat/>
    <w:pPr>
      <w:framePr w:w="2211" w:wrap="auto" w:vAnchor="page" w:hAnchor="page" w:x="8790" w:y="11228"/>
      <w:spacing w:line="500" w:lineRule="atLeast"/>
    </w:pPr>
    <w:rPr>
      <w:caps/>
      <w:sz w:val="28"/>
    </w:rPr>
  </w:style>
  <w:style w:type="paragraph" w:customStyle="1" w:styleId="Author">
    <w:name w:val="Author"/>
    <w:basedOn w:val="Normal"/>
    <w:pPr>
      <w:framePr w:w="2211" w:wrap="auto" w:vAnchor="page" w:hAnchor="page" w:x="8790" w:y="13212"/>
      <w:spacing w:line="440" w:lineRule="atLeast"/>
    </w:pPr>
  </w:style>
  <w:style w:type="paragraph" w:customStyle="1" w:styleId="Toprule">
    <w:name w:val="Top rule"/>
    <w:basedOn w:val="Normal"/>
    <w:next w:val="Title"/>
    <w:pPr>
      <w:framePr w:hSpace="180" w:vSpace="180" w:wrap="auto" w:vAnchor="page" w:hAnchor="margin" w:x="3630" w:y="693"/>
      <w:pBdr>
        <w:bottom w:val="single" w:sz="6" w:space="0" w:color="auto"/>
      </w:pBdr>
      <w:spacing w:before="4020" w:after="560"/>
    </w:pPr>
  </w:style>
  <w:style w:type="character" w:styleId="PageNumber">
    <w:name w:val="page number"/>
    <w:basedOn w:val="DefaultParagraphFont"/>
  </w:style>
  <w:style w:type="table" w:styleId="TableGrid">
    <w:name w:val="Table Grid"/>
    <w:basedOn w:val="TableNormal"/>
    <w:rsid w:val="002E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9488C"/>
    <w:rPr>
      <w:sz w:val="16"/>
      <w:szCs w:val="16"/>
    </w:rPr>
  </w:style>
  <w:style w:type="paragraph" w:styleId="CommentText">
    <w:name w:val="annotation text"/>
    <w:basedOn w:val="Normal"/>
    <w:link w:val="CommentTextChar"/>
    <w:uiPriority w:val="99"/>
    <w:semiHidden/>
    <w:rsid w:val="0009488C"/>
    <w:rPr>
      <w:sz w:val="20"/>
    </w:rPr>
  </w:style>
  <w:style w:type="paragraph" w:styleId="CommentSubject">
    <w:name w:val="annotation subject"/>
    <w:basedOn w:val="CommentText"/>
    <w:next w:val="CommentText"/>
    <w:semiHidden/>
    <w:rsid w:val="0009488C"/>
    <w:rPr>
      <w:b/>
      <w:bCs/>
    </w:rPr>
  </w:style>
  <w:style w:type="paragraph" w:styleId="BalloonText">
    <w:name w:val="Balloon Text"/>
    <w:basedOn w:val="Normal"/>
    <w:semiHidden/>
    <w:rsid w:val="0009488C"/>
    <w:rPr>
      <w:rFonts w:ascii="Tahoma" w:hAnsi="Tahoma" w:cs="Tahoma"/>
      <w:sz w:val="16"/>
      <w:szCs w:val="16"/>
    </w:rPr>
  </w:style>
  <w:style w:type="paragraph" w:styleId="TOCHeading">
    <w:name w:val="TOC Heading"/>
    <w:basedOn w:val="Heading1"/>
    <w:next w:val="Normal"/>
    <w:uiPriority w:val="39"/>
    <w:qFormat/>
    <w:rsid w:val="004901E5"/>
    <w:pPr>
      <w:keepLines/>
      <w:spacing w:before="480" w:after="0" w:line="276" w:lineRule="auto"/>
      <w:ind w:left="0" w:firstLine="0"/>
      <w:outlineLvl w:val="9"/>
    </w:pPr>
    <w:rPr>
      <w:rFonts w:ascii="Cambria" w:hAnsi="Cambria"/>
      <w:b/>
      <w:bCs/>
      <w:caps w:val="0"/>
      <w:color w:val="365F91"/>
      <w:sz w:val="28"/>
      <w:szCs w:val="28"/>
      <w:lang w:val="en-US"/>
    </w:rPr>
  </w:style>
  <w:style w:type="paragraph" w:styleId="TOC3">
    <w:name w:val="toc 3"/>
    <w:basedOn w:val="Normal"/>
    <w:next w:val="Normal"/>
    <w:autoRedefine/>
    <w:uiPriority w:val="39"/>
    <w:qFormat/>
    <w:rsid w:val="001376C9"/>
    <w:pPr>
      <w:tabs>
        <w:tab w:val="right" w:leader="dot" w:pos="8488"/>
      </w:tabs>
      <w:ind w:left="426"/>
    </w:pPr>
    <w:rPr>
      <w:rFonts w:ascii="Times New Roman" w:hAnsi="Times New Roman"/>
      <w:i/>
      <w:iCs/>
      <w:sz w:val="20"/>
    </w:rPr>
  </w:style>
  <w:style w:type="character" w:styleId="Hyperlink">
    <w:name w:val="Hyperlink"/>
    <w:uiPriority w:val="99"/>
    <w:unhideWhenUsed/>
    <w:rsid w:val="004901E5"/>
    <w:rPr>
      <w:color w:val="0000FF"/>
      <w:u w:val="single"/>
    </w:rPr>
  </w:style>
  <w:style w:type="character" w:styleId="Emphasis">
    <w:name w:val="Emphasis"/>
    <w:qFormat/>
    <w:rsid w:val="005F62AD"/>
    <w:rPr>
      <w:i/>
      <w:iCs/>
    </w:rPr>
  </w:style>
  <w:style w:type="character" w:styleId="Strong">
    <w:name w:val="Strong"/>
    <w:qFormat/>
    <w:rsid w:val="005F62AD"/>
    <w:rPr>
      <w:b/>
      <w:bCs/>
    </w:rPr>
  </w:style>
  <w:style w:type="character" w:styleId="SubtleEmphasis">
    <w:name w:val="Subtle Emphasis"/>
    <w:uiPriority w:val="19"/>
    <w:qFormat/>
    <w:rsid w:val="00CD4D30"/>
    <w:rPr>
      <w:i/>
      <w:iCs/>
      <w:color w:val="808080"/>
    </w:rPr>
  </w:style>
  <w:style w:type="paragraph" w:styleId="TOC4">
    <w:name w:val="toc 4"/>
    <w:basedOn w:val="Normal"/>
    <w:next w:val="Normal"/>
    <w:autoRedefine/>
    <w:semiHidden/>
    <w:rsid w:val="004211EA"/>
    <w:pPr>
      <w:ind w:left="660"/>
    </w:pPr>
    <w:rPr>
      <w:rFonts w:ascii="Times New Roman" w:hAnsi="Times New Roman"/>
      <w:sz w:val="18"/>
      <w:szCs w:val="18"/>
    </w:rPr>
  </w:style>
  <w:style w:type="paragraph" w:styleId="TOC5">
    <w:name w:val="toc 5"/>
    <w:basedOn w:val="Normal"/>
    <w:next w:val="Normal"/>
    <w:autoRedefine/>
    <w:semiHidden/>
    <w:rsid w:val="004211EA"/>
    <w:pPr>
      <w:ind w:left="880"/>
    </w:pPr>
    <w:rPr>
      <w:rFonts w:ascii="Times New Roman" w:hAnsi="Times New Roman"/>
      <w:sz w:val="18"/>
      <w:szCs w:val="18"/>
    </w:rPr>
  </w:style>
  <w:style w:type="paragraph" w:styleId="TOC6">
    <w:name w:val="toc 6"/>
    <w:basedOn w:val="Normal"/>
    <w:next w:val="Normal"/>
    <w:autoRedefine/>
    <w:semiHidden/>
    <w:rsid w:val="004211EA"/>
    <w:pPr>
      <w:ind w:left="1100"/>
    </w:pPr>
    <w:rPr>
      <w:rFonts w:ascii="Times New Roman" w:hAnsi="Times New Roman"/>
      <w:sz w:val="18"/>
      <w:szCs w:val="18"/>
    </w:rPr>
  </w:style>
  <w:style w:type="paragraph" w:styleId="TOC7">
    <w:name w:val="toc 7"/>
    <w:basedOn w:val="Normal"/>
    <w:next w:val="Normal"/>
    <w:autoRedefine/>
    <w:semiHidden/>
    <w:rsid w:val="004211EA"/>
    <w:pPr>
      <w:ind w:left="1320"/>
    </w:pPr>
    <w:rPr>
      <w:rFonts w:ascii="Times New Roman" w:hAnsi="Times New Roman"/>
      <w:sz w:val="18"/>
      <w:szCs w:val="18"/>
    </w:rPr>
  </w:style>
  <w:style w:type="paragraph" w:styleId="TOC8">
    <w:name w:val="toc 8"/>
    <w:basedOn w:val="Normal"/>
    <w:next w:val="Normal"/>
    <w:autoRedefine/>
    <w:semiHidden/>
    <w:rsid w:val="004211EA"/>
    <w:pPr>
      <w:ind w:left="1540"/>
    </w:pPr>
    <w:rPr>
      <w:rFonts w:ascii="Times New Roman" w:hAnsi="Times New Roman"/>
      <w:sz w:val="18"/>
      <w:szCs w:val="18"/>
    </w:rPr>
  </w:style>
  <w:style w:type="paragraph" w:styleId="TOC9">
    <w:name w:val="toc 9"/>
    <w:basedOn w:val="Normal"/>
    <w:next w:val="Normal"/>
    <w:autoRedefine/>
    <w:semiHidden/>
    <w:rsid w:val="004211EA"/>
    <w:pPr>
      <w:ind w:left="1760"/>
    </w:pPr>
    <w:rPr>
      <w:rFonts w:ascii="Times New Roman" w:hAnsi="Times New Roman"/>
      <w:sz w:val="18"/>
      <w:szCs w:val="18"/>
    </w:rPr>
  </w:style>
  <w:style w:type="character" w:customStyle="1" w:styleId="CommentTextChar">
    <w:name w:val="Comment Text Char"/>
    <w:link w:val="CommentText"/>
    <w:uiPriority w:val="99"/>
    <w:semiHidden/>
    <w:rsid w:val="002356D3"/>
    <w:rPr>
      <w:rFonts w:ascii="Book Antiqua" w:hAnsi="Book Antiqua"/>
      <w:lang w:eastAsia="en-US"/>
    </w:rPr>
  </w:style>
  <w:style w:type="paragraph" w:styleId="ListParagraph">
    <w:name w:val="List Paragraph"/>
    <w:basedOn w:val="Normal"/>
    <w:uiPriority w:val="34"/>
    <w:qFormat/>
    <w:rsid w:val="00D34F8A"/>
    <w:pPr>
      <w:ind w:left="720"/>
      <w:contextualSpacing/>
    </w:pPr>
    <w:rPr>
      <w:rFonts w:ascii="Calibri" w:eastAsia="Calibri" w:hAnsi="Calibri"/>
      <w:szCs w:val="22"/>
    </w:rPr>
  </w:style>
  <w:style w:type="paragraph" w:styleId="Revision">
    <w:name w:val="Revision"/>
    <w:hidden/>
    <w:uiPriority w:val="99"/>
    <w:semiHidden/>
    <w:rsid w:val="00722764"/>
    <w:rPr>
      <w:rFonts w:ascii="Book Antiqua" w:hAnsi="Book Antiqua"/>
      <w:sz w:val="22"/>
      <w:lang w:eastAsia="en-US"/>
    </w:rPr>
  </w:style>
  <w:style w:type="character" w:customStyle="1" w:styleId="apple-converted-space">
    <w:name w:val="apple-converted-space"/>
    <w:basedOn w:val="DefaultParagraphFont"/>
    <w:rsid w:val="00677E7D"/>
  </w:style>
  <w:style w:type="character" w:styleId="FollowedHyperlink">
    <w:name w:val="FollowedHyperlink"/>
    <w:basedOn w:val="DefaultParagraphFont"/>
    <w:semiHidden/>
    <w:unhideWhenUsed/>
    <w:rsid w:val="00663C4E"/>
    <w:rPr>
      <w:color w:val="800080" w:themeColor="followedHyperlink"/>
      <w:u w:val="single"/>
    </w:rPr>
  </w:style>
  <w:style w:type="character" w:customStyle="1" w:styleId="Heading1Char">
    <w:name w:val="Heading 1 Char"/>
    <w:link w:val="Heading1"/>
    <w:uiPriority w:val="9"/>
    <w:rsid w:val="001201FA"/>
    <w:rPr>
      <w:rFonts w:ascii="Arial Black" w:hAnsi="Arial Black"/>
      <w:caps/>
      <w:sz w:val="22"/>
      <w:lang w:eastAsia="en-US"/>
    </w:rPr>
  </w:style>
  <w:style w:type="character" w:customStyle="1" w:styleId="TitleChar">
    <w:name w:val="Title Char"/>
    <w:aliases w:val="NAA Title Char"/>
    <w:link w:val="Title"/>
    <w:rsid w:val="00601B70"/>
    <w:rPr>
      <w:rFonts w:ascii="Book Antiqua" w:hAnsi="Book Antiqua"/>
      <w:sz w:val="56"/>
      <w:lang w:eastAsia="en-US"/>
    </w:rPr>
  </w:style>
  <w:style w:type="paragraph" w:customStyle="1" w:styleId="NAAAuthor">
    <w:name w:val="NAA Author"/>
    <w:basedOn w:val="Normal"/>
    <w:link w:val="NAAAuthorChar"/>
    <w:qFormat/>
    <w:rsid w:val="00601B70"/>
    <w:pPr>
      <w:jc w:val="right"/>
    </w:pPr>
    <w:rPr>
      <w:rFonts w:ascii="Arial" w:hAnsi="Arial" w:cs="Arial"/>
      <w:b/>
      <w:color w:val="FFFFFF"/>
      <w:sz w:val="28"/>
      <w:szCs w:val="28"/>
    </w:rPr>
  </w:style>
  <w:style w:type="paragraph" w:customStyle="1" w:styleId="NAADate">
    <w:name w:val="NAA Date"/>
    <w:basedOn w:val="NAAAuthor"/>
    <w:link w:val="NAADateChar"/>
    <w:qFormat/>
    <w:rsid w:val="00601B70"/>
    <w:rPr>
      <w:b w:val="0"/>
    </w:rPr>
  </w:style>
  <w:style w:type="character" w:customStyle="1" w:styleId="NAAAuthorChar">
    <w:name w:val="NAA Author Char"/>
    <w:link w:val="NAAAuthor"/>
    <w:rsid w:val="00601B70"/>
    <w:rPr>
      <w:rFonts w:ascii="Arial" w:hAnsi="Arial" w:cs="Arial"/>
      <w:b/>
      <w:color w:val="FFFFFF"/>
      <w:sz w:val="28"/>
      <w:szCs w:val="28"/>
      <w:lang w:eastAsia="en-US"/>
    </w:rPr>
  </w:style>
  <w:style w:type="character" w:customStyle="1" w:styleId="NAADateChar">
    <w:name w:val="NAA Date Char"/>
    <w:link w:val="NAADate"/>
    <w:rsid w:val="00601B70"/>
    <w:rPr>
      <w:rFonts w:ascii="Arial" w:hAnsi="Arial" w:cs="Arial"/>
      <w:color w:val="FFFFF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23894">
      <w:bodyDiv w:val="1"/>
      <w:marLeft w:val="0"/>
      <w:marRight w:val="0"/>
      <w:marTop w:val="0"/>
      <w:marBottom w:val="0"/>
      <w:divBdr>
        <w:top w:val="none" w:sz="0" w:space="0" w:color="auto"/>
        <w:left w:val="none" w:sz="0" w:space="0" w:color="auto"/>
        <w:bottom w:val="none" w:sz="0" w:space="0" w:color="auto"/>
        <w:right w:val="none" w:sz="0" w:space="0" w:color="auto"/>
      </w:divBdr>
      <w:divsChild>
        <w:div w:id="204996667">
          <w:marLeft w:val="0"/>
          <w:marRight w:val="0"/>
          <w:marTop w:val="0"/>
          <w:marBottom w:val="0"/>
          <w:divBdr>
            <w:top w:val="none" w:sz="0" w:space="0" w:color="auto"/>
            <w:left w:val="none" w:sz="0" w:space="0" w:color="auto"/>
            <w:bottom w:val="none" w:sz="0" w:space="0" w:color="auto"/>
            <w:right w:val="none" w:sz="0" w:space="0" w:color="auto"/>
          </w:divBdr>
          <w:divsChild>
            <w:div w:id="63143810">
              <w:marLeft w:val="0"/>
              <w:marRight w:val="0"/>
              <w:marTop w:val="0"/>
              <w:marBottom w:val="0"/>
              <w:divBdr>
                <w:top w:val="none" w:sz="0" w:space="0" w:color="auto"/>
                <w:left w:val="none" w:sz="0" w:space="0" w:color="auto"/>
                <w:bottom w:val="none" w:sz="0" w:space="0" w:color="auto"/>
                <w:right w:val="none" w:sz="0" w:space="0" w:color="auto"/>
              </w:divBdr>
            </w:div>
            <w:div w:id="244192407">
              <w:marLeft w:val="0"/>
              <w:marRight w:val="0"/>
              <w:marTop w:val="0"/>
              <w:marBottom w:val="0"/>
              <w:divBdr>
                <w:top w:val="none" w:sz="0" w:space="0" w:color="auto"/>
                <w:left w:val="none" w:sz="0" w:space="0" w:color="auto"/>
                <w:bottom w:val="none" w:sz="0" w:space="0" w:color="auto"/>
                <w:right w:val="none" w:sz="0" w:space="0" w:color="auto"/>
              </w:divBdr>
            </w:div>
            <w:div w:id="619604729">
              <w:marLeft w:val="0"/>
              <w:marRight w:val="0"/>
              <w:marTop w:val="0"/>
              <w:marBottom w:val="0"/>
              <w:divBdr>
                <w:top w:val="none" w:sz="0" w:space="0" w:color="auto"/>
                <w:left w:val="none" w:sz="0" w:space="0" w:color="auto"/>
                <w:bottom w:val="none" w:sz="0" w:space="0" w:color="auto"/>
                <w:right w:val="none" w:sz="0" w:space="0" w:color="auto"/>
              </w:divBdr>
            </w:div>
            <w:div w:id="800995324">
              <w:marLeft w:val="0"/>
              <w:marRight w:val="0"/>
              <w:marTop w:val="0"/>
              <w:marBottom w:val="0"/>
              <w:divBdr>
                <w:top w:val="none" w:sz="0" w:space="0" w:color="auto"/>
                <w:left w:val="none" w:sz="0" w:space="0" w:color="auto"/>
                <w:bottom w:val="none" w:sz="0" w:space="0" w:color="auto"/>
                <w:right w:val="none" w:sz="0" w:space="0" w:color="auto"/>
              </w:divBdr>
            </w:div>
            <w:div w:id="1531725966">
              <w:marLeft w:val="0"/>
              <w:marRight w:val="0"/>
              <w:marTop w:val="0"/>
              <w:marBottom w:val="0"/>
              <w:divBdr>
                <w:top w:val="none" w:sz="0" w:space="0" w:color="auto"/>
                <w:left w:val="none" w:sz="0" w:space="0" w:color="auto"/>
                <w:bottom w:val="none" w:sz="0" w:space="0" w:color="auto"/>
                <w:right w:val="none" w:sz="0" w:space="0" w:color="auto"/>
              </w:divBdr>
            </w:div>
            <w:div w:id="1565987226">
              <w:marLeft w:val="0"/>
              <w:marRight w:val="0"/>
              <w:marTop w:val="0"/>
              <w:marBottom w:val="0"/>
              <w:divBdr>
                <w:top w:val="none" w:sz="0" w:space="0" w:color="auto"/>
                <w:left w:val="none" w:sz="0" w:space="0" w:color="auto"/>
                <w:bottom w:val="none" w:sz="0" w:space="0" w:color="auto"/>
                <w:right w:val="none" w:sz="0" w:space="0" w:color="auto"/>
              </w:divBdr>
            </w:div>
            <w:div w:id="1688285789">
              <w:marLeft w:val="0"/>
              <w:marRight w:val="0"/>
              <w:marTop w:val="0"/>
              <w:marBottom w:val="0"/>
              <w:divBdr>
                <w:top w:val="none" w:sz="0" w:space="0" w:color="auto"/>
                <w:left w:val="none" w:sz="0" w:space="0" w:color="auto"/>
                <w:bottom w:val="none" w:sz="0" w:space="0" w:color="auto"/>
                <w:right w:val="none" w:sz="0" w:space="0" w:color="auto"/>
              </w:divBdr>
            </w:div>
            <w:div w:id="18648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discussion\InternalReport%20-%20by%20Christmas%20vari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B847-6AC5-44EF-81B9-960A2745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InternalReport - by Christmas variant.dot</Template>
  <TotalTime>8</TotalTime>
  <Pages>14</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Forms and Templates - Records Operations and Preservation -  Policy Template</vt:lpstr>
    </vt:vector>
  </TitlesOfParts>
  <Company>Australian Archives</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and Templates - Records Operations and Preservation -  Policy Template</dc:title>
  <dc:creator>Sean Debenham</dc:creator>
  <dc:description>Form IF240. Version 1.0, 17 March 2010.</dc:description>
  <cp:lastModifiedBy>Amy McLachlan</cp:lastModifiedBy>
  <cp:revision>4</cp:revision>
  <cp:lastPrinted>2015-08-05T06:56:00Z</cp:lastPrinted>
  <dcterms:created xsi:type="dcterms:W3CDTF">2019-09-26T04:32:00Z</dcterms:created>
  <dcterms:modified xsi:type="dcterms:W3CDTF">2019-09-26T05:28:00Z</dcterms:modified>
</cp:coreProperties>
</file>